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050FE" w14:textId="77777777" w:rsidR="0013437E" w:rsidRDefault="0013437E" w:rsidP="004002DA">
      <w:pPr>
        <w:rPr>
          <w:rFonts w:asciiTheme="minorBidi" w:hAnsiTheme="minorBidi" w:cstheme="minorBidi"/>
          <w:sz w:val="20"/>
        </w:rPr>
      </w:pPr>
    </w:p>
    <w:p w14:paraId="146B2DDF" w14:textId="77777777" w:rsidR="0013437E" w:rsidRDefault="0013437E" w:rsidP="004002DA">
      <w:pPr>
        <w:rPr>
          <w:rFonts w:asciiTheme="minorBidi" w:hAnsiTheme="minorBidi" w:cstheme="minorBidi"/>
          <w:sz w:val="20"/>
        </w:rPr>
      </w:pPr>
    </w:p>
    <w:p w14:paraId="22F6D8BD" w14:textId="6FCFDD56" w:rsidR="004002DA" w:rsidRPr="0041504B" w:rsidRDefault="007A244E" w:rsidP="004002DA">
      <w:pPr>
        <w:rPr>
          <w:rFonts w:asciiTheme="minorBidi" w:hAnsiTheme="minorBidi" w:cstheme="minorBidi"/>
          <w:sz w:val="20"/>
        </w:rPr>
      </w:pPr>
      <w:r w:rsidRPr="0041504B">
        <w:rPr>
          <w:rFonts w:asciiTheme="minorBidi" w:hAnsiTheme="minorBidi" w:cstheme="minorBidi"/>
          <w:noProof/>
          <w:color w:val="2B579A"/>
          <w:sz w:val="20"/>
          <w:shd w:val="clear" w:color="auto" w:fill="E6E6E6"/>
        </w:rPr>
        <mc:AlternateContent>
          <mc:Choice Requires="wps">
            <w:drawing>
              <wp:anchor distT="0" distB="0" distL="114300" distR="114300" simplePos="0" relativeHeight="251660288" behindDoc="0" locked="0" layoutInCell="1" allowOverlap="1" wp14:anchorId="4426817F" wp14:editId="2F8FE8CE">
                <wp:simplePos x="0" y="0"/>
                <wp:positionH relativeFrom="column">
                  <wp:posOffset>185420</wp:posOffset>
                </wp:positionH>
                <wp:positionV relativeFrom="paragraph">
                  <wp:posOffset>-256540</wp:posOffset>
                </wp:positionV>
                <wp:extent cx="5308600" cy="800100"/>
                <wp:effectExtent l="0" t="0" r="25400" b="1905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08600" cy="8001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7ECB02" w14:textId="77777777" w:rsidR="0066181A" w:rsidRPr="004002DA" w:rsidRDefault="0066181A" w:rsidP="004002DA">
                            <w:pPr>
                              <w:tabs>
                                <w:tab w:val="left" w:pos="1843"/>
                              </w:tabs>
                              <w:rPr>
                                <w:rFonts w:cs="Arial"/>
                                <w:sz w:val="18"/>
                                <w:szCs w:val="18"/>
                                <w:lang w:val="en-US"/>
                              </w:rPr>
                            </w:pPr>
                            <w:r w:rsidRPr="004002DA">
                              <w:rPr>
                                <w:rFonts w:cs="Arial"/>
                                <w:sz w:val="18"/>
                                <w:szCs w:val="18"/>
                                <w:lang w:val="en-US"/>
                              </w:rPr>
                              <w:t>Last updated: 19 August 2020</w:t>
                            </w:r>
                          </w:p>
                          <w:p w14:paraId="323EB5D6" w14:textId="77777777" w:rsidR="0066181A" w:rsidRPr="004002DA" w:rsidRDefault="0066181A" w:rsidP="004002DA">
                            <w:pPr>
                              <w:tabs>
                                <w:tab w:val="left" w:pos="1843"/>
                              </w:tabs>
                              <w:rPr>
                                <w:sz w:val="18"/>
                                <w:szCs w:val="18"/>
                                <w:lang w:val="en-US"/>
                              </w:rPr>
                            </w:pPr>
                            <w:r w:rsidRPr="004002DA">
                              <w:rPr>
                                <w:rFonts w:cs="Arial"/>
                                <w:sz w:val="18"/>
                                <w:szCs w:val="18"/>
                                <w:lang w:val="en-US"/>
                              </w:rPr>
                              <w:t>Summary of changes since last update</w:t>
                            </w:r>
                            <w:r w:rsidRPr="004002DA">
                              <w:rPr>
                                <w:sz w:val="18"/>
                                <w:szCs w:val="18"/>
                                <w:lang w:val="en-US"/>
                              </w:rPr>
                              <w:t xml:space="preserve">: approved version dated 8 July with new chapter on additional needs of up to USD 7 million </w:t>
                            </w:r>
                          </w:p>
                          <w:p w14:paraId="2AD2AFBB" w14:textId="77777777" w:rsidR="0066181A" w:rsidRPr="004002DA" w:rsidRDefault="0066181A" w:rsidP="004002D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C791E78">
              <v:shapetype id="_x0000_t202" coordsize="21600,21600" o:spt="202" path="m,l,21600r21600,l21600,xe" w14:anchorId="4426817F">
                <v:stroke joinstyle="miter"/>
                <v:path gradientshapeok="t" o:connecttype="rect"/>
              </v:shapetype>
              <v:shape id="Text Box 25" style="position:absolute;margin-left:14.6pt;margin-top:-20.2pt;width:418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">
                <v:path arrowok="t"/>
                <v:textbox>
                  <w:txbxContent>
                    <w:p w:rsidRPr="004002DA" w:rsidR="0066181A" w:rsidP="004002DA" w:rsidRDefault="0066181A" w14:paraId="2D30173D" w14:textId="77777777">
                      <w:pPr>
                        <w:tabs>
                          <w:tab w:val="left" w:pos="1843"/>
                        </w:tabs>
                        <w:rPr>
                          <w:rFonts w:cs="Arial"/>
                          <w:sz w:val="18"/>
                          <w:szCs w:val="18"/>
                          <w:lang w:val="en-US"/>
                        </w:rPr>
                      </w:pPr>
                      <w:r w:rsidRPr="004002DA">
                        <w:rPr>
                          <w:rFonts w:cs="Arial"/>
                          <w:sz w:val="18"/>
                          <w:szCs w:val="18"/>
                          <w:lang w:val="en-US"/>
                        </w:rPr>
                        <w:t>Last updated: 19 August 2020</w:t>
                      </w:r>
                    </w:p>
                    <w:p w:rsidRPr="004002DA" w:rsidR="0066181A" w:rsidP="004002DA" w:rsidRDefault="0066181A" w14:paraId="0D6778D8" w14:textId="77777777">
                      <w:pPr>
                        <w:tabs>
                          <w:tab w:val="left" w:pos="1843"/>
                        </w:tabs>
                        <w:rPr>
                          <w:sz w:val="18"/>
                          <w:szCs w:val="18"/>
                          <w:lang w:val="en-US"/>
                        </w:rPr>
                      </w:pPr>
                      <w:r w:rsidRPr="004002DA">
                        <w:rPr>
                          <w:rFonts w:cs="Arial"/>
                          <w:sz w:val="18"/>
                          <w:szCs w:val="18"/>
                          <w:lang w:val="en-US"/>
                        </w:rPr>
                        <w:t>Summary of changes since last update</w:t>
                      </w:r>
                      <w:r w:rsidRPr="004002DA">
                        <w:rPr>
                          <w:sz w:val="18"/>
                          <w:szCs w:val="18"/>
                          <w:lang w:val="en-US"/>
                        </w:rPr>
                        <w:t xml:space="preserve">: approved version dated 8 July with new chapter on additional needs of up to USD 7 million </w:t>
                      </w:r>
                    </w:p>
                    <w:p w:rsidRPr="004002DA" w:rsidR="0066181A" w:rsidP="004002DA" w:rsidRDefault="0066181A" w14:paraId="672A6659" w14:textId="77777777">
                      <w:pPr>
                        <w:rPr>
                          <w:lang w:val="en-US"/>
                        </w:rPr>
                      </w:pPr>
                    </w:p>
                  </w:txbxContent>
                </v:textbox>
              </v:shape>
            </w:pict>
          </mc:Fallback>
        </mc:AlternateContent>
      </w:r>
    </w:p>
    <w:p w14:paraId="72E592BD" w14:textId="77777777" w:rsidR="004002DA" w:rsidRPr="00475E00" w:rsidRDefault="004002DA" w:rsidP="004002DA">
      <w:pPr>
        <w:rPr>
          <w:rFonts w:asciiTheme="minorBidi" w:hAnsiTheme="minorBidi" w:cstheme="minorBidi"/>
          <w:sz w:val="20"/>
        </w:rPr>
      </w:pPr>
      <w:r w:rsidRPr="0041504B">
        <w:rPr>
          <w:rFonts w:asciiTheme="minorBidi" w:hAnsiTheme="minorBidi" w:cstheme="minorBidi"/>
          <w:noProof/>
          <w:color w:val="2B579A"/>
          <w:sz w:val="20"/>
          <w:shd w:val="clear" w:color="auto" w:fill="E6E6E6"/>
        </w:rPr>
        <w:drawing>
          <wp:anchor distT="0" distB="0" distL="114300" distR="114300" simplePos="0" relativeHeight="251659264" behindDoc="0" locked="0" layoutInCell="1" allowOverlap="1" wp14:anchorId="5E1E6014" wp14:editId="4E58D008">
            <wp:simplePos x="0" y="0"/>
            <wp:positionH relativeFrom="column">
              <wp:posOffset>4445635</wp:posOffset>
            </wp:positionH>
            <wp:positionV relativeFrom="paragraph">
              <wp:posOffset>-939165</wp:posOffset>
            </wp:positionV>
            <wp:extent cx="910590" cy="319405"/>
            <wp:effectExtent l="0" t="0" r="0" b="0"/>
            <wp:wrapNone/>
            <wp:docPr id="21" name="Bild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05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00735" w14:textId="77777777" w:rsidR="00AC0919" w:rsidRDefault="00AC0919" w:rsidP="004002DA">
      <w:pPr>
        <w:rPr>
          <w:rFonts w:asciiTheme="minorBidi" w:hAnsiTheme="minorBidi" w:cstheme="minorBidi"/>
          <w:b/>
          <w:sz w:val="20"/>
          <w:lang w:val="en-US"/>
        </w:rPr>
      </w:pPr>
    </w:p>
    <w:p w14:paraId="6C3B52D2" w14:textId="64CB065D" w:rsidR="004002DA" w:rsidRPr="004002DA" w:rsidRDefault="004002DA" w:rsidP="004002DA">
      <w:pPr>
        <w:rPr>
          <w:rFonts w:asciiTheme="minorBidi" w:hAnsiTheme="minorBidi" w:cstheme="minorBidi"/>
          <w:b/>
          <w:sz w:val="20"/>
          <w:lang w:val="en-US"/>
        </w:rPr>
      </w:pPr>
      <w:r w:rsidRPr="004002DA">
        <w:rPr>
          <w:rFonts w:asciiTheme="minorBidi" w:hAnsiTheme="minorBidi" w:cstheme="minorBidi"/>
          <w:b/>
          <w:sz w:val="20"/>
          <w:lang w:val="en-US"/>
        </w:rPr>
        <w:t xml:space="preserve">Project Number (Grant Number and BMZ Number): </w:t>
      </w:r>
      <w:r w:rsidR="00A47477">
        <w:rPr>
          <w:rFonts w:asciiTheme="minorBidi" w:hAnsiTheme="minorBidi" w:cstheme="minorBidi"/>
          <w:b/>
          <w:sz w:val="20"/>
          <w:lang w:val="en-US"/>
        </w:rPr>
        <w:t>2020</w:t>
      </w:r>
      <w:r w:rsidR="00A96472">
        <w:rPr>
          <w:rFonts w:asciiTheme="minorBidi" w:hAnsiTheme="minorBidi" w:cstheme="minorBidi"/>
          <w:b/>
          <w:sz w:val="20"/>
          <w:lang w:val="en-US"/>
        </w:rPr>
        <w:t>.</w:t>
      </w:r>
      <w:r w:rsidR="00A47477">
        <w:rPr>
          <w:rFonts w:asciiTheme="minorBidi" w:hAnsiTheme="minorBidi" w:cstheme="minorBidi"/>
          <w:b/>
          <w:sz w:val="20"/>
          <w:lang w:val="en-US"/>
        </w:rPr>
        <w:t>1813</w:t>
      </w:r>
      <w:r w:rsidR="00A96472">
        <w:rPr>
          <w:rFonts w:asciiTheme="minorBidi" w:hAnsiTheme="minorBidi" w:cstheme="minorBidi"/>
          <w:b/>
          <w:sz w:val="20"/>
          <w:lang w:val="en-US"/>
        </w:rPr>
        <w:t>.</w:t>
      </w:r>
      <w:r w:rsidR="00A47477">
        <w:rPr>
          <w:rFonts w:asciiTheme="minorBidi" w:hAnsiTheme="minorBidi" w:cstheme="minorBidi"/>
          <w:b/>
          <w:sz w:val="20"/>
          <w:lang w:val="en-US"/>
        </w:rPr>
        <w:t>3</w:t>
      </w:r>
    </w:p>
    <w:p w14:paraId="3AE52D5D" w14:textId="77777777" w:rsidR="004002DA" w:rsidRPr="004002DA" w:rsidRDefault="004002DA" w:rsidP="004002DA">
      <w:pPr>
        <w:rPr>
          <w:rFonts w:asciiTheme="minorBidi" w:hAnsiTheme="minorBidi" w:cstheme="minorBidi"/>
          <w:sz w:val="20"/>
          <w:lang w:val="en-US"/>
        </w:rPr>
      </w:pPr>
      <w:r w:rsidRPr="004002DA">
        <w:rPr>
          <w:rFonts w:asciiTheme="minorBidi" w:hAnsiTheme="minorBidi" w:cstheme="minorBidi"/>
          <w:b/>
          <w:bCs/>
          <w:sz w:val="20"/>
          <w:lang w:val="en-US"/>
        </w:rPr>
        <w:t xml:space="preserve">Start Date: September 2020 </w:t>
      </w:r>
      <w:r w:rsidRPr="004002DA">
        <w:rPr>
          <w:rFonts w:asciiTheme="minorBidi" w:hAnsiTheme="minorBidi" w:cstheme="minorBidi"/>
          <w:b/>
          <w:bCs/>
          <w:sz w:val="20"/>
          <w:lang w:val="en-US"/>
        </w:rPr>
        <w:tab/>
      </w:r>
      <w:r w:rsidRPr="004002DA">
        <w:rPr>
          <w:rFonts w:asciiTheme="minorBidi" w:hAnsiTheme="minorBidi" w:cstheme="minorBidi"/>
          <w:sz w:val="20"/>
          <w:lang w:val="en-US"/>
        </w:rPr>
        <w:tab/>
      </w:r>
      <w:r w:rsidRPr="004002DA">
        <w:rPr>
          <w:rFonts w:asciiTheme="minorBidi" w:hAnsiTheme="minorBidi" w:cstheme="minorBidi"/>
          <w:sz w:val="20"/>
          <w:lang w:val="en-US"/>
        </w:rPr>
        <w:tab/>
      </w:r>
      <w:r w:rsidRPr="004002DA">
        <w:rPr>
          <w:rFonts w:asciiTheme="minorBidi" w:hAnsiTheme="minorBidi" w:cstheme="minorBidi"/>
          <w:b/>
          <w:bCs/>
          <w:sz w:val="20"/>
          <w:lang w:val="en-US"/>
        </w:rPr>
        <w:t>End Date:</w:t>
      </w:r>
      <w:r w:rsidRPr="004002DA">
        <w:rPr>
          <w:rFonts w:asciiTheme="minorBidi" w:hAnsiTheme="minorBidi" w:cstheme="minorBidi"/>
          <w:sz w:val="20"/>
          <w:lang w:val="en-US"/>
        </w:rPr>
        <w:t xml:space="preserve"> </w:t>
      </w:r>
      <w:r w:rsidRPr="004002DA">
        <w:rPr>
          <w:rFonts w:asciiTheme="minorBidi" w:hAnsiTheme="minorBidi" w:cstheme="minorBidi"/>
          <w:b/>
          <w:bCs/>
          <w:sz w:val="20"/>
          <w:lang w:val="en-US"/>
        </w:rPr>
        <w:t>August 2023</w:t>
      </w:r>
      <w:r w:rsidRPr="004002DA">
        <w:rPr>
          <w:rFonts w:asciiTheme="minorBidi" w:hAnsiTheme="minorBidi" w:cstheme="minorBidi"/>
          <w:sz w:val="20"/>
          <w:lang w:val="en-US"/>
        </w:rPr>
        <w:tab/>
        <w:t xml:space="preserve"> </w:t>
      </w:r>
      <w:r w:rsidRPr="004002DA">
        <w:rPr>
          <w:rFonts w:asciiTheme="minorBidi" w:hAnsiTheme="minorBidi" w:cstheme="minorBidi"/>
          <w:sz w:val="20"/>
          <w:lang w:val="en-US"/>
        </w:rPr>
        <w:tab/>
      </w:r>
    </w:p>
    <w:p w14:paraId="050A11FE" w14:textId="77777777" w:rsidR="004002DA" w:rsidRPr="004002DA" w:rsidRDefault="004002DA" w:rsidP="004002DA">
      <w:pPr>
        <w:rPr>
          <w:rFonts w:asciiTheme="minorBidi" w:hAnsiTheme="minorBidi" w:cstheme="minorBidi"/>
          <w:sz w:val="20"/>
          <w:lang w:val="en-US"/>
        </w:rPr>
      </w:pP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3970"/>
        <w:gridCol w:w="5381"/>
      </w:tblGrid>
      <w:tr w:rsidR="004002DA" w:rsidRPr="006F767C" w14:paraId="1AAA08C6" w14:textId="77777777" w:rsidTr="0013437E">
        <w:trPr>
          <w:trHeight w:val="396"/>
        </w:trPr>
        <w:tc>
          <w:tcPr>
            <w:tcW w:w="9021" w:type="dxa"/>
            <w:gridSpan w:val="2"/>
            <w:shd w:val="clear" w:color="auto" w:fill="auto"/>
            <w:vAlign w:val="center"/>
          </w:tcPr>
          <w:p w14:paraId="6E610281" w14:textId="77777777" w:rsidR="004002DA" w:rsidRPr="004002DA" w:rsidRDefault="004002DA" w:rsidP="004002DA">
            <w:pPr>
              <w:jc w:val="center"/>
              <w:rPr>
                <w:rFonts w:asciiTheme="minorBidi" w:hAnsiTheme="minorBidi" w:cstheme="minorBidi"/>
                <w:b/>
                <w:sz w:val="20"/>
                <w:lang w:val="en-US"/>
              </w:rPr>
            </w:pPr>
            <w:r w:rsidRPr="004002DA">
              <w:rPr>
                <w:rFonts w:asciiTheme="minorBidi" w:hAnsiTheme="minorBidi" w:cstheme="minorBidi"/>
                <w:b/>
                <w:sz w:val="20"/>
                <w:lang w:val="en-US"/>
              </w:rPr>
              <w:t xml:space="preserve"> </w:t>
            </w:r>
          </w:p>
        </w:tc>
      </w:tr>
      <w:tr w:rsidR="004002DA" w:rsidRPr="006F767C" w14:paraId="754CABED" w14:textId="77777777" w:rsidTr="0013437E">
        <w:trPr>
          <w:trHeight w:val="1473"/>
        </w:trPr>
        <w:tc>
          <w:tcPr>
            <w:tcW w:w="9021" w:type="dxa"/>
            <w:gridSpan w:val="2"/>
            <w:tcBorders>
              <w:bottom w:val="single" w:sz="4" w:space="0" w:color="auto"/>
            </w:tcBorders>
            <w:shd w:val="clear" w:color="auto" w:fill="auto"/>
          </w:tcPr>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074"/>
            </w:tblGrid>
            <w:tr w:rsidR="004002DA" w:rsidRPr="0066181A" w14:paraId="36110F47" w14:textId="77777777" w:rsidTr="0013437E">
              <w:trPr>
                <w:trHeight w:hRule="exact" w:val="686"/>
              </w:trPr>
              <w:tc>
                <w:tcPr>
                  <w:tcW w:w="5000" w:type="pct"/>
                  <w:gridSpan w:val="2"/>
                  <w:shd w:val="clear" w:color="auto" w:fill="002060"/>
                </w:tcPr>
                <w:p w14:paraId="081F5BCA" w14:textId="77777777" w:rsidR="004002DA" w:rsidRPr="0066181A" w:rsidRDefault="004002DA" w:rsidP="004002DA">
                  <w:pPr>
                    <w:tabs>
                      <w:tab w:val="center" w:pos="4221"/>
                    </w:tabs>
                    <w:snapToGrid w:val="0"/>
                    <w:spacing w:before="40" w:after="40"/>
                    <w:rPr>
                      <w:rFonts w:cs="Arial"/>
                      <w:b/>
                      <w:sz w:val="20"/>
                    </w:rPr>
                  </w:pPr>
                  <w:r w:rsidRPr="0066181A">
                    <w:rPr>
                      <w:rFonts w:cs="Arial"/>
                      <w:sz w:val="20"/>
                      <w:lang w:val="en-US"/>
                    </w:rPr>
                    <w:br w:type="page"/>
                  </w:r>
                  <w:r w:rsidRPr="0066181A">
                    <w:rPr>
                      <w:rFonts w:cs="Arial"/>
                      <w:b/>
                      <w:color w:val="FFFFFF"/>
                      <w:sz w:val="20"/>
                    </w:rPr>
                    <w:t xml:space="preserve">Project summary </w:t>
                  </w:r>
                  <w:r w:rsidRPr="0066181A">
                    <w:rPr>
                      <w:rFonts w:cs="Arial"/>
                      <w:b/>
                      <w:color w:val="FFFFFF"/>
                      <w:sz w:val="20"/>
                    </w:rPr>
                    <w:tab/>
                  </w:r>
                </w:p>
              </w:tc>
            </w:tr>
            <w:tr w:rsidR="004002DA" w:rsidRPr="0066181A" w14:paraId="437D46F9" w14:textId="77777777" w:rsidTr="0013437E">
              <w:trPr>
                <w:trHeight w:hRule="exact" w:val="579"/>
              </w:trPr>
              <w:tc>
                <w:tcPr>
                  <w:tcW w:w="1591" w:type="pct"/>
                </w:tcPr>
                <w:p w14:paraId="4783E7CA" w14:textId="77777777" w:rsidR="004002DA" w:rsidRPr="0066181A" w:rsidRDefault="004002DA" w:rsidP="004002DA">
                  <w:pPr>
                    <w:snapToGrid w:val="0"/>
                    <w:spacing w:before="40" w:after="40"/>
                    <w:rPr>
                      <w:rFonts w:cs="Arial"/>
                      <w:b/>
                      <w:sz w:val="20"/>
                    </w:rPr>
                  </w:pPr>
                  <w:r w:rsidRPr="0066181A">
                    <w:rPr>
                      <w:rFonts w:cs="Arial"/>
                      <w:b/>
                      <w:sz w:val="20"/>
                    </w:rPr>
                    <w:t>Country</w:t>
                  </w:r>
                </w:p>
              </w:tc>
              <w:tc>
                <w:tcPr>
                  <w:tcW w:w="3409" w:type="pct"/>
                </w:tcPr>
                <w:p w14:paraId="2A6017C9" w14:textId="77777777" w:rsidR="004002DA" w:rsidRPr="0066181A" w:rsidRDefault="004002DA" w:rsidP="00475E00">
                  <w:pPr>
                    <w:snapToGrid w:val="0"/>
                    <w:spacing w:before="40" w:after="40" w:line="276" w:lineRule="auto"/>
                    <w:rPr>
                      <w:rFonts w:cs="Arial"/>
                      <w:sz w:val="20"/>
                    </w:rPr>
                  </w:pPr>
                  <w:r w:rsidRPr="0066181A">
                    <w:rPr>
                      <w:rFonts w:cs="Arial"/>
                      <w:sz w:val="20"/>
                    </w:rPr>
                    <w:t>occupied Palestinian territory</w:t>
                  </w:r>
                </w:p>
              </w:tc>
            </w:tr>
            <w:tr w:rsidR="004002DA" w:rsidRPr="006F767C" w14:paraId="3BD295D7" w14:textId="77777777" w:rsidTr="0013437E">
              <w:trPr>
                <w:trHeight w:hRule="exact" w:val="606"/>
              </w:trPr>
              <w:tc>
                <w:tcPr>
                  <w:tcW w:w="1591" w:type="pct"/>
                </w:tcPr>
                <w:p w14:paraId="381886D7" w14:textId="77777777" w:rsidR="004002DA" w:rsidRPr="0066181A" w:rsidRDefault="004002DA" w:rsidP="004002DA">
                  <w:pPr>
                    <w:snapToGrid w:val="0"/>
                    <w:spacing w:before="40" w:after="40"/>
                    <w:rPr>
                      <w:rFonts w:cs="Arial"/>
                      <w:b/>
                      <w:sz w:val="20"/>
                    </w:rPr>
                  </w:pPr>
                  <w:r w:rsidRPr="0066181A">
                    <w:rPr>
                      <w:rFonts w:cs="Arial"/>
                      <w:b/>
                      <w:sz w:val="20"/>
                    </w:rPr>
                    <w:t>Project Title</w:t>
                  </w:r>
                </w:p>
              </w:tc>
              <w:tc>
                <w:tcPr>
                  <w:tcW w:w="3409" w:type="pct"/>
                </w:tcPr>
                <w:p w14:paraId="1FF9AB6B" w14:textId="77777777" w:rsidR="004002DA" w:rsidRPr="0066181A" w:rsidRDefault="004002DA" w:rsidP="00475E00">
                  <w:pPr>
                    <w:snapToGrid w:val="0"/>
                    <w:spacing w:before="40" w:after="40" w:line="276" w:lineRule="auto"/>
                    <w:rPr>
                      <w:rFonts w:cs="Arial"/>
                      <w:b/>
                      <w:bCs/>
                      <w:sz w:val="20"/>
                      <w:lang w:val="en-US"/>
                    </w:rPr>
                  </w:pPr>
                  <w:r w:rsidRPr="0066181A">
                    <w:rPr>
                      <w:rFonts w:cs="Arial"/>
                      <w:b/>
                      <w:bCs/>
                      <w:sz w:val="20"/>
                      <w:lang w:val="en-US"/>
                    </w:rPr>
                    <w:t>Investment Programme for Resilience (IPR - COVID-19 response), Palestinian Territory</w:t>
                  </w:r>
                </w:p>
                <w:p w14:paraId="4831DC05" w14:textId="77777777" w:rsidR="004002DA" w:rsidRPr="0066181A" w:rsidRDefault="004002DA" w:rsidP="00475E00">
                  <w:pPr>
                    <w:snapToGrid w:val="0"/>
                    <w:spacing w:before="40" w:after="40" w:line="276" w:lineRule="auto"/>
                    <w:rPr>
                      <w:rFonts w:cs="Arial"/>
                      <w:b/>
                      <w:bCs/>
                      <w:sz w:val="20"/>
                      <w:lang w:val="en-US"/>
                    </w:rPr>
                  </w:pPr>
                  <w:r w:rsidRPr="0066181A">
                    <w:rPr>
                      <w:rFonts w:cs="Arial"/>
                      <w:b/>
                      <w:bCs/>
                      <w:sz w:val="20"/>
                      <w:lang w:val="en-US"/>
                    </w:rPr>
                    <w:t>Investment Programme for Resilience (IPR) - short term response to COVID-19</w:t>
                  </w:r>
                </w:p>
              </w:tc>
            </w:tr>
            <w:tr w:rsidR="004002DA" w:rsidRPr="006F767C" w14:paraId="0BAFBC90" w14:textId="77777777" w:rsidTr="0013437E">
              <w:trPr>
                <w:trHeight w:hRule="exact" w:val="1287"/>
              </w:trPr>
              <w:tc>
                <w:tcPr>
                  <w:tcW w:w="1591" w:type="pct"/>
                </w:tcPr>
                <w:p w14:paraId="18CB33C5" w14:textId="77777777" w:rsidR="004002DA" w:rsidRPr="0066181A" w:rsidRDefault="004002DA" w:rsidP="004002DA">
                  <w:pPr>
                    <w:snapToGrid w:val="0"/>
                    <w:spacing w:before="40" w:after="40"/>
                    <w:rPr>
                      <w:rFonts w:cs="Arial"/>
                      <w:b/>
                      <w:sz w:val="20"/>
                    </w:rPr>
                  </w:pPr>
                  <w:r w:rsidRPr="0066181A">
                    <w:rPr>
                      <w:rFonts w:cs="Arial"/>
                      <w:b/>
                      <w:sz w:val="20"/>
                    </w:rPr>
                    <w:t>Project Objective</w:t>
                  </w:r>
                </w:p>
              </w:tc>
              <w:tc>
                <w:tcPr>
                  <w:tcW w:w="3409" w:type="pct"/>
                </w:tcPr>
                <w:p w14:paraId="468DDE2A" w14:textId="77777777" w:rsidR="004002DA" w:rsidRPr="0066181A" w:rsidRDefault="004002DA" w:rsidP="00475E00">
                  <w:pPr>
                    <w:snapToGrid w:val="0"/>
                    <w:spacing w:before="40" w:after="40" w:line="276" w:lineRule="auto"/>
                    <w:rPr>
                      <w:rFonts w:cs="Arial"/>
                      <w:sz w:val="20"/>
                      <w:lang w:val="en-US"/>
                    </w:rPr>
                  </w:pPr>
                  <w:r w:rsidRPr="0066181A">
                    <w:rPr>
                      <w:rFonts w:cs="Arial"/>
                      <w:sz w:val="20"/>
                      <w:lang w:val="en-US"/>
                    </w:rPr>
                    <w:t>The resilience of marginalized Palestinian communities is reinforced, through addressing the immediate needs of the COVID-19 crisis and mitigating the medium- to longer-term socio-economic effects in the areas of health, community and employment.</w:t>
                  </w:r>
                </w:p>
                <w:p w14:paraId="4B90C3AE" w14:textId="77777777" w:rsidR="004002DA" w:rsidRPr="0066181A" w:rsidRDefault="004002DA" w:rsidP="00475E00">
                  <w:pPr>
                    <w:snapToGrid w:val="0"/>
                    <w:spacing w:before="40" w:after="40" w:line="276" w:lineRule="auto"/>
                    <w:rPr>
                      <w:rFonts w:cs="Arial"/>
                      <w:sz w:val="20"/>
                      <w:lang w:val="en-US"/>
                    </w:rPr>
                  </w:pPr>
                </w:p>
              </w:tc>
            </w:tr>
            <w:tr w:rsidR="004002DA" w:rsidRPr="0066181A" w14:paraId="4AADE3A7" w14:textId="77777777" w:rsidTr="0013437E">
              <w:trPr>
                <w:trHeight w:hRule="exact" w:val="406"/>
              </w:trPr>
              <w:tc>
                <w:tcPr>
                  <w:tcW w:w="1591" w:type="pct"/>
                </w:tcPr>
                <w:p w14:paraId="6FE18553" w14:textId="77777777" w:rsidR="004002DA" w:rsidRPr="0066181A" w:rsidRDefault="004002DA" w:rsidP="004002DA">
                  <w:pPr>
                    <w:snapToGrid w:val="0"/>
                    <w:spacing w:before="40" w:after="40"/>
                    <w:rPr>
                      <w:rFonts w:cs="Arial"/>
                      <w:b/>
                      <w:sz w:val="20"/>
                    </w:rPr>
                  </w:pPr>
                  <w:r w:rsidRPr="0066181A">
                    <w:rPr>
                      <w:rFonts w:cs="Arial"/>
                      <w:b/>
                      <w:sz w:val="20"/>
                    </w:rPr>
                    <w:t>Project Duration</w:t>
                  </w:r>
                </w:p>
              </w:tc>
              <w:tc>
                <w:tcPr>
                  <w:tcW w:w="3409" w:type="pct"/>
                </w:tcPr>
                <w:p w14:paraId="39C4B704" w14:textId="77777777" w:rsidR="004002DA" w:rsidRPr="0066181A" w:rsidRDefault="004002DA" w:rsidP="00475E00">
                  <w:pPr>
                    <w:snapToGrid w:val="0"/>
                    <w:spacing w:before="40" w:after="40" w:line="276" w:lineRule="auto"/>
                    <w:rPr>
                      <w:rFonts w:cs="Arial"/>
                      <w:sz w:val="20"/>
                    </w:rPr>
                  </w:pPr>
                  <w:r w:rsidRPr="0066181A" w:rsidDel="00823EC0">
                    <w:rPr>
                      <w:rFonts w:cs="Arial"/>
                      <w:sz w:val="20"/>
                    </w:rPr>
                    <w:t>36 months</w:t>
                  </w:r>
                </w:p>
              </w:tc>
            </w:tr>
            <w:tr w:rsidR="004002DA" w:rsidRPr="0066181A" w14:paraId="4539FE46" w14:textId="77777777" w:rsidTr="0013437E">
              <w:trPr>
                <w:trHeight w:hRule="exact" w:val="396"/>
              </w:trPr>
              <w:tc>
                <w:tcPr>
                  <w:tcW w:w="1591" w:type="pct"/>
                </w:tcPr>
                <w:p w14:paraId="0C035749" w14:textId="77777777" w:rsidR="004002DA" w:rsidRPr="0066181A" w:rsidRDefault="004002DA" w:rsidP="004002DA">
                  <w:pPr>
                    <w:snapToGrid w:val="0"/>
                    <w:spacing w:before="40" w:after="40"/>
                    <w:rPr>
                      <w:rFonts w:cs="Arial"/>
                      <w:b/>
                      <w:sz w:val="20"/>
                    </w:rPr>
                  </w:pPr>
                  <w:r w:rsidRPr="0066181A">
                    <w:rPr>
                      <w:rFonts w:cs="Arial"/>
                      <w:b/>
                      <w:sz w:val="20"/>
                    </w:rPr>
                    <w:t>Total Proposed Budget</w:t>
                  </w:r>
                </w:p>
              </w:tc>
              <w:tc>
                <w:tcPr>
                  <w:tcW w:w="3409" w:type="pct"/>
                </w:tcPr>
                <w:p w14:paraId="77384849" w14:textId="77777777" w:rsidR="004002DA" w:rsidRPr="0066181A" w:rsidRDefault="004002DA" w:rsidP="00475E00">
                  <w:pPr>
                    <w:pBdr>
                      <w:top w:val="nil"/>
                      <w:left w:val="nil"/>
                      <w:bottom w:val="nil"/>
                      <w:right w:val="nil"/>
                      <w:between w:val="nil"/>
                      <w:bar w:val="nil"/>
                    </w:pBdr>
                    <w:spacing w:before="40" w:after="40" w:line="276" w:lineRule="auto"/>
                    <w:rPr>
                      <w:rFonts w:eastAsia="Cambria" w:cs="Arial"/>
                      <w:sz w:val="20"/>
                    </w:rPr>
                  </w:pPr>
                  <w:r w:rsidRPr="0066181A">
                    <w:rPr>
                      <w:rFonts w:eastAsia="Cambria" w:cs="Arial"/>
                      <w:sz w:val="20"/>
                    </w:rPr>
                    <w:t xml:space="preserve">EUR 10.0 million plus EUR 7 million supplement grant </w:t>
                  </w:r>
                </w:p>
              </w:tc>
            </w:tr>
            <w:tr w:rsidR="004002DA" w:rsidRPr="006F767C" w14:paraId="7384BDC3" w14:textId="77777777" w:rsidTr="0013437E">
              <w:trPr>
                <w:trHeight w:val="760"/>
              </w:trPr>
              <w:tc>
                <w:tcPr>
                  <w:tcW w:w="1591" w:type="pct"/>
                </w:tcPr>
                <w:p w14:paraId="5CDC90AE" w14:textId="77777777" w:rsidR="004002DA" w:rsidRPr="0066181A" w:rsidRDefault="004002DA" w:rsidP="004002DA">
                  <w:pPr>
                    <w:snapToGrid w:val="0"/>
                    <w:spacing w:before="40" w:after="40"/>
                    <w:rPr>
                      <w:rFonts w:cs="Arial"/>
                      <w:b/>
                      <w:sz w:val="20"/>
                    </w:rPr>
                  </w:pPr>
                  <w:r w:rsidRPr="0066181A">
                    <w:rPr>
                      <w:rFonts w:cs="Arial"/>
                      <w:b/>
                      <w:sz w:val="20"/>
                    </w:rPr>
                    <w:t>Key expected results</w:t>
                  </w:r>
                </w:p>
              </w:tc>
              <w:tc>
                <w:tcPr>
                  <w:tcW w:w="3409" w:type="pct"/>
                </w:tcPr>
                <w:p w14:paraId="14A74778" w14:textId="77777777" w:rsidR="004002DA" w:rsidRPr="0066181A" w:rsidRDefault="004002DA" w:rsidP="00475E00">
                  <w:pPr>
                    <w:snapToGrid w:val="0"/>
                    <w:spacing w:before="40" w:after="40" w:line="276" w:lineRule="auto"/>
                    <w:rPr>
                      <w:rFonts w:cs="Arial"/>
                      <w:sz w:val="20"/>
                      <w:lang w:val="en-US"/>
                    </w:rPr>
                  </w:pPr>
                  <w:r w:rsidRPr="0066181A">
                    <w:rPr>
                      <w:rFonts w:cs="Arial"/>
                      <w:sz w:val="20"/>
                      <w:lang w:val="en-US"/>
                    </w:rPr>
                    <w:t>The aim of the IPR will be achieved through the following key expected results (outcomes and outputs):</w:t>
                  </w:r>
                </w:p>
                <w:p w14:paraId="706D7B6A" w14:textId="77777777" w:rsidR="004002DA" w:rsidRPr="0066181A" w:rsidRDefault="004002DA" w:rsidP="00475E00">
                  <w:pPr>
                    <w:spacing w:before="240" w:after="240" w:line="276" w:lineRule="auto"/>
                    <w:rPr>
                      <w:rFonts w:cs="Arial"/>
                      <w:sz w:val="20"/>
                      <w:lang w:val="en-US"/>
                    </w:rPr>
                  </w:pPr>
                  <w:r w:rsidRPr="0066181A">
                    <w:rPr>
                      <w:rFonts w:cs="Arial"/>
                      <w:b/>
                      <w:bCs/>
                      <w:sz w:val="20"/>
                      <w:lang w:val="en-US"/>
                    </w:rPr>
                    <w:t xml:space="preserve">Outcome 1: </w:t>
                  </w:r>
                  <w:r w:rsidRPr="0066181A">
                    <w:rPr>
                      <w:rFonts w:cs="Arial"/>
                      <w:sz w:val="20"/>
                      <w:lang w:val="en-US"/>
                    </w:rPr>
                    <w:t>Health response capacity of the government and partners strengthened to cope with the immediate needs of the COVID-19 crisis</w:t>
                  </w:r>
                </w:p>
                <w:p w14:paraId="332493E2" w14:textId="77777777" w:rsidR="004002DA" w:rsidRPr="0066181A" w:rsidRDefault="004002DA" w:rsidP="00475E00">
                  <w:pPr>
                    <w:spacing w:line="276" w:lineRule="auto"/>
                    <w:rPr>
                      <w:rFonts w:cs="Arial"/>
                      <w:b/>
                      <w:bCs/>
                      <w:sz w:val="20"/>
                      <w:lang w:val="en-US"/>
                    </w:rPr>
                  </w:pPr>
                  <w:r w:rsidRPr="0066181A">
                    <w:rPr>
                      <w:rFonts w:cs="Arial"/>
                      <w:b/>
                      <w:bCs/>
                      <w:sz w:val="20"/>
                      <w:lang w:val="en-US"/>
                    </w:rPr>
                    <w:t xml:space="preserve">Outputs: </w:t>
                  </w:r>
                </w:p>
                <w:p w14:paraId="1D4A210B" w14:textId="77777777" w:rsidR="004002DA" w:rsidRPr="0066181A" w:rsidRDefault="004002DA" w:rsidP="00475E00">
                  <w:pPr>
                    <w:spacing w:line="276" w:lineRule="auto"/>
                    <w:rPr>
                      <w:rFonts w:cs="Arial"/>
                      <w:sz w:val="20"/>
                      <w:lang w:val="en-US"/>
                    </w:rPr>
                  </w:pPr>
                  <w:r w:rsidRPr="0066181A">
                    <w:rPr>
                      <w:rFonts w:cs="Arial"/>
                      <w:iCs/>
                      <w:sz w:val="20"/>
                      <w:lang w:val="en-US"/>
                    </w:rPr>
                    <w:t xml:space="preserve">1.1 Critical health facilities </w:t>
                  </w:r>
                  <w:proofErr w:type="gramStart"/>
                  <w:r w:rsidRPr="0066181A">
                    <w:rPr>
                      <w:rFonts w:cs="Arial"/>
                      <w:iCs/>
                      <w:sz w:val="20"/>
                      <w:lang w:val="en-US"/>
                    </w:rPr>
                    <w:t>equipped</w:t>
                  </w:r>
                  <w:proofErr w:type="gramEnd"/>
                  <w:r w:rsidRPr="0066181A">
                    <w:rPr>
                      <w:rFonts w:cs="Arial"/>
                      <w:iCs/>
                      <w:sz w:val="20"/>
                      <w:lang w:val="en-US"/>
                    </w:rPr>
                    <w:t xml:space="preserve"> and health workers protected</w:t>
                  </w:r>
                </w:p>
                <w:p w14:paraId="3FE2519A" w14:textId="77777777" w:rsidR="004002DA" w:rsidRPr="0066181A" w:rsidRDefault="004002DA" w:rsidP="00475E00">
                  <w:pPr>
                    <w:spacing w:line="276" w:lineRule="auto"/>
                    <w:rPr>
                      <w:rFonts w:cs="Arial"/>
                      <w:iCs/>
                      <w:sz w:val="20"/>
                      <w:lang w:val="en-US"/>
                    </w:rPr>
                  </w:pPr>
                  <w:r w:rsidRPr="0066181A">
                    <w:rPr>
                      <w:rFonts w:cs="Arial"/>
                      <w:iCs/>
                      <w:sz w:val="20"/>
                      <w:lang w:val="en-US"/>
                    </w:rPr>
                    <w:t>1.2 Response capacities of health workers strengthened</w:t>
                  </w:r>
                </w:p>
                <w:p w14:paraId="68615A08" w14:textId="77777777" w:rsidR="004002DA" w:rsidRPr="0066181A" w:rsidRDefault="004002DA" w:rsidP="00475E00">
                  <w:pPr>
                    <w:spacing w:line="276" w:lineRule="auto"/>
                    <w:rPr>
                      <w:rFonts w:cs="Arial"/>
                      <w:iCs/>
                      <w:sz w:val="20"/>
                      <w:lang w:val="en-US"/>
                    </w:rPr>
                  </w:pPr>
                  <w:r w:rsidRPr="0066181A">
                    <w:rPr>
                      <w:rFonts w:cs="Arial"/>
                      <w:iCs/>
                      <w:sz w:val="20"/>
                      <w:lang w:val="en-US"/>
                    </w:rPr>
                    <w:t>1.3 Disposal and treatment of medical waste enhanced</w:t>
                  </w:r>
                </w:p>
                <w:p w14:paraId="79C7E3FB" w14:textId="77777777" w:rsidR="004002DA" w:rsidRPr="0066181A" w:rsidRDefault="004002DA" w:rsidP="00475E00">
                  <w:pPr>
                    <w:snapToGrid w:val="0"/>
                    <w:spacing w:before="40" w:after="40" w:line="276" w:lineRule="auto"/>
                    <w:rPr>
                      <w:rFonts w:cs="Arial"/>
                      <w:b/>
                      <w:bCs/>
                      <w:sz w:val="20"/>
                      <w:lang w:val="en-US"/>
                    </w:rPr>
                  </w:pPr>
                </w:p>
                <w:p w14:paraId="048216CA" w14:textId="77777777" w:rsidR="004002DA" w:rsidRPr="0066181A" w:rsidRDefault="004002DA" w:rsidP="00475E00">
                  <w:pPr>
                    <w:snapToGrid w:val="0"/>
                    <w:spacing w:before="40" w:after="40" w:line="276" w:lineRule="auto"/>
                    <w:rPr>
                      <w:rFonts w:cs="Arial"/>
                      <w:sz w:val="20"/>
                      <w:lang w:val="en-US"/>
                    </w:rPr>
                  </w:pPr>
                  <w:r w:rsidRPr="0066181A">
                    <w:rPr>
                      <w:rFonts w:cs="Arial"/>
                      <w:b/>
                      <w:bCs/>
                      <w:sz w:val="20"/>
                      <w:lang w:val="en-US"/>
                    </w:rPr>
                    <w:t xml:space="preserve">Outcome 2: </w:t>
                  </w:r>
                  <w:r w:rsidRPr="0066181A">
                    <w:rPr>
                      <w:rFonts w:cs="Arial"/>
                      <w:sz w:val="20"/>
                      <w:lang w:val="en-US"/>
                    </w:rPr>
                    <w:t>Resilience of communities enhanced in marginalized areas for socio-economic recovery and social cohesion through rehabilitation and expansion of infrastructure and complementary measures</w:t>
                  </w:r>
                </w:p>
                <w:p w14:paraId="0DB0E794" w14:textId="77777777" w:rsidR="004002DA" w:rsidRPr="0066181A" w:rsidRDefault="004002DA" w:rsidP="00475E00">
                  <w:pPr>
                    <w:spacing w:line="276" w:lineRule="auto"/>
                    <w:rPr>
                      <w:rFonts w:cs="Arial"/>
                      <w:iCs/>
                      <w:sz w:val="20"/>
                      <w:lang w:val="en-US"/>
                    </w:rPr>
                  </w:pPr>
                </w:p>
                <w:p w14:paraId="56B0C1FA" w14:textId="77777777" w:rsidR="004002DA" w:rsidRPr="0066181A" w:rsidRDefault="004002DA" w:rsidP="00475E00">
                  <w:pPr>
                    <w:spacing w:line="276" w:lineRule="auto"/>
                    <w:rPr>
                      <w:rFonts w:cs="Arial"/>
                      <w:b/>
                      <w:bCs/>
                      <w:iCs/>
                      <w:sz w:val="20"/>
                      <w:lang w:val="en-US"/>
                    </w:rPr>
                  </w:pPr>
                  <w:r w:rsidRPr="0066181A">
                    <w:rPr>
                      <w:rFonts w:cs="Arial"/>
                      <w:b/>
                      <w:bCs/>
                      <w:iCs/>
                      <w:sz w:val="20"/>
                      <w:lang w:val="en-US"/>
                    </w:rPr>
                    <w:t xml:space="preserve">Outputs: </w:t>
                  </w:r>
                </w:p>
                <w:p w14:paraId="560E69E9" w14:textId="77777777" w:rsidR="004002DA" w:rsidRPr="0066181A" w:rsidRDefault="004002DA" w:rsidP="00475E00">
                  <w:pPr>
                    <w:spacing w:line="276" w:lineRule="auto"/>
                    <w:rPr>
                      <w:rFonts w:cs="Arial"/>
                      <w:sz w:val="20"/>
                      <w:lang w:val="en-US"/>
                    </w:rPr>
                  </w:pPr>
                  <w:r w:rsidRPr="0066181A">
                    <w:rPr>
                      <w:rFonts w:cs="Arial"/>
                      <w:sz w:val="20"/>
                      <w:lang w:val="en-US"/>
                    </w:rPr>
                    <w:t xml:space="preserve">2.1 Socio-economic and community infrastructure rehabilitated and/or expanded with focus on Gaza, East-Jerusalem and Area C </w:t>
                  </w:r>
                </w:p>
                <w:p w14:paraId="02020489" w14:textId="77777777" w:rsidR="004002DA" w:rsidRPr="0066181A" w:rsidRDefault="004002DA" w:rsidP="00475E00">
                  <w:pPr>
                    <w:spacing w:line="276" w:lineRule="auto"/>
                    <w:rPr>
                      <w:rFonts w:cs="Arial"/>
                      <w:sz w:val="20"/>
                      <w:lang w:val="en-US"/>
                    </w:rPr>
                  </w:pPr>
                  <w:r w:rsidRPr="0066181A">
                    <w:rPr>
                      <w:rFonts w:cs="Arial"/>
                      <w:sz w:val="20"/>
                      <w:lang w:val="en-US"/>
                    </w:rPr>
                    <w:t xml:space="preserve">2.2 Capacity and resilience of entities improved to manage the infrastructure and to provide sustainable services and employment to the community </w:t>
                  </w:r>
                </w:p>
                <w:p w14:paraId="2274BD09" w14:textId="77777777" w:rsidR="004002DA" w:rsidRPr="0066181A" w:rsidRDefault="004002DA" w:rsidP="00475E00">
                  <w:pPr>
                    <w:spacing w:line="276" w:lineRule="auto"/>
                    <w:rPr>
                      <w:rFonts w:cs="Arial"/>
                      <w:sz w:val="20"/>
                      <w:lang w:val="en-US"/>
                    </w:rPr>
                  </w:pPr>
                </w:p>
              </w:tc>
            </w:tr>
            <w:tr w:rsidR="004002DA" w:rsidRPr="006F767C" w14:paraId="25858276" w14:textId="77777777" w:rsidTr="0013437E">
              <w:trPr>
                <w:trHeight w:hRule="exact" w:val="610"/>
              </w:trPr>
              <w:tc>
                <w:tcPr>
                  <w:tcW w:w="1591" w:type="pct"/>
                </w:tcPr>
                <w:p w14:paraId="4670DB39" w14:textId="77777777" w:rsidR="004002DA" w:rsidRPr="0066181A" w:rsidRDefault="004002DA" w:rsidP="004002DA">
                  <w:pPr>
                    <w:snapToGrid w:val="0"/>
                    <w:spacing w:before="40" w:after="40"/>
                    <w:rPr>
                      <w:rFonts w:cs="Arial"/>
                      <w:b/>
                      <w:sz w:val="20"/>
                    </w:rPr>
                  </w:pPr>
                  <w:r w:rsidRPr="0066181A">
                    <w:rPr>
                      <w:rFonts w:cs="Arial"/>
                      <w:b/>
                      <w:sz w:val="20"/>
                      <w:lang w:eastAsia="ja-JP"/>
                    </w:rPr>
                    <w:t>Geographical Coverage</w:t>
                  </w:r>
                </w:p>
              </w:tc>
              <w:tc>
                <w:tcPr>
                  <w:tcW w:w="3409" w:type="pct"/>
                </w:tcPr>
                <w:p w14:paraId="7296FD6F" w14:textId="77777777" w:rsidR="004002DA" w:rsidRPr="0066181A" w:rsidRDefault="004002DA" w:rsidP="00475E00">
                  <w:pPr>
                    <w:snapToGrid w:val="0"/>
                    <w:spacing w:before="40" w:after="40" w:line="276" w:lineRule="auto"/>
                    <w:rPr>
                      <w:rFonts w:cs="Arial"/>
                      <w:sz w:val="20"/>
                      <w:lang w:val="en-US"/>
                    </w:rPr>
                  </w:pPr>
                  <w:r w:rsidRPr="0066181A">
                    <w:rPr>
                      <w:rFonts w:cs="Arial"/>
                      <w:sz w:val="20"/>
                      <w:lang w:val="en-US"/>
                    </w:rPr>
                    <w:t xml:space="preserve">Area C of West Bank, East Jerusalem and Gaza Strip (other areas of the West Bank might be covered under Outcome 1).  </w:t>
                  </w:r>
                </w:p>
              </w:tc>
            </w:tr>
            <w:tr w:rsidR="004002DA" w:rsidRPr="006F767C" w14:paraId="1E235F8C" w14:textId="77777777" w:rsidTr="0013437E">
              <w:trPr>
                <w:trHeight w:hRule="exact" w:val="1851"/>
              </w:trPr>
              <w:tc>
                <w:tcPr>
                  <w:tcW w:w="1591" w:type="pct"/>
                </w:tcPr>
                <w:p w14:paraId="0DEABB84" w14:textId="77777777" w:rsidR="004002DA" w:rsidRPr="0066181A" w:rsidRDefault="004002DA" w:rsidP="004002DA">
                  <w:pPr>
                    <w:snapToGrid w:val="0"/>
                    <w:spacing w:before="40" w:after="40"/>
                    <w:rPr>
                      <w:rFonts w:cs="Arial"/>
                      <w:b/>
                      <w:sz w:val="20"/>
                      <w:lang w:eastAsia="ja-JP"/>
                    </w:rPr>
                  </w:pPr>
                  <w:r w:rsidRPr="0066181A">
                    <w:rPr>
                      <w:rFonts w:cs="Arial"/>
                      <w:b/>
                      <w:sz w:val="20"/>
                      <w:lang w:eastAsia="ja-JP"/>
                    </w:rPr>
                    <w:lastRenderedPageBreak/>
                    <w:t xml:space="preserve">Beneficiaries </w:t>
                  </w:r>
                </w:p>
              </w:tc>
              <w:tc>
                <w:tcPr>
                  <w:tcW w:w="3409" w:type="pct"/>
                </w:tcPr>
                <w:p w14:paraId="012877D8" w14:textId="77777777" w:rsidR="004002DA" w:rsidRPr="0066181A" w:rsidRDefault="004002DA" w:rsidP="00475E00">
                  <w:pPr>
                    <w:snapToGrid w:val="0"/>
                    <w:spacing w:before="40" w:after="40" w:line="276" w:lineRule="auto"/>
                    <w:rPr>
                      <w:rFonts w:cs="Arial"/>
                      <w:sz w:val="20"/>
                      <w:lang w:val="en-US"/>
                    </w:rPr>
                  </w:pPr>
                  <w:r w:rsidRPr="0066181A">
                    <w:rPr>
                      <w:rFonts w:cs="Arial"/>
                      <w:sz w:val="20"/>
                      <w:lang w:val="en-US"/>
                    </w:rPr>
                    <w:t>Outcome 1: health workers (e.g. doctors, nurses, technicians), medical waste treatment workers, hospital patients</w:t>
                  </w:r>
                </w:p>
                <w:p w14:paraId="088A587D" w14:textId="77777777" w:rsidR="004002DA" w:rsidRPr="0066181A" w:rsidRDefault="004002DA" w:rsidP="00475E00">
                  <w:pPr>
                    <w:snapToGrid w:val="0"/>
                    <w:spacing w:before="40" w:after="40" w:line="276" w:lineRule="auto"/>
                    <w:rPr>
                      <w:rFonts w:cs="Arial"/>
                      <w:sz w:val="20"/>
                      <w:lang w:val="en-US"/>
                    </w:rPr>
                  </w:pPr>
                </w:p>
                <w:p w14:paraId="3E715DAC" w14:textId="77777777" w:rsidR="004002DA" w:rsidRPr="0066181A" w:rsidRDefault="004002DA" w:rsidP="00475E00">
                  <w:pPr>
                    <w:snapToGrid w:val="0"/>
                    <w:spacing w:before="40" w:after="40" w:line="276" w:lineRule="auto"/>
                    <w:rPr>
                      <w:rFonts w:cs="Arial"/>
                      <w:sz w:val="20"/>
                      <w:lang w:val="en-US"/>
                    </w:rPr>
                  </w:pPr>
                  <w:r w:rsidRPr="0066181A">
                    <w:rPr>
                      <w:rFonts w:cs="Arial"/>
                      <w:sz w:val="20"/>
                      <w:lang w:val="en-US"/>
                    </w:rPr>
                    <w:t>Outcome 2:  individuals with multiple vulnerabilities, who are most economically affected by the COVID19 crisis (e.g. women, youth, disabled); and social organizations</w:t>
                  </w:r>
                </w:p>
              </w:tc>
            </w:tr>
            <w:tr w:rsidR="004002DA" w:rsidRPr="006F767C" w14:paraId="134C74B5" w14:textId="77777777" w:rsidTr="0013437E">
              <w:trPr>
                <w:trHeight w:hRule="exact" w:val="881"/>
              </w:trPr>
              <w:tc>
                <w:tcPr>
                  <w:tcW w:w="1591" w:type="pct"/>
                </w:tcPr>
                <w:p w14:paraId="4E1547BD" w14:textId="77777777" w:rsidR="004002DA" w:rsidRPr="0066181A" w:rsidRDefault="004002DA" w:rsidP="004002DA">
                  <w:pPr>
                    <w:snapToGrid w:val="0"/>
                    <w:spacing w:before="40" w:after="40"/>
                    <w:rPr>
                      <w:rFonts w:cs="Arial"/>
                      <w:b/>
                      <w:sz w:val="20"/>
                      <w:highlight w:val="yellow"/>
                      <w:lang w:val="en-US" w:eastAsia="ja-JP"/>
                    </w:rPr>
                  </w:pPr>
                  <w:r w:rsidRPr="0066181A">
                    <w:rPr>
                      <w:rFonts w:cs="Arial"/>
                      <w:b/>
                      <w:sz w:val="20"/>
                      <w:lang w:val="en-US" w:eastAsia="ja-JP"/>
                    </w:rPr>
                    <w:t>Project partners (e.g. other UN agencies, NGOs, private contractors, consultants)</w:t>
                  </w:r>
                </w:p>
              </w:tc>
              <w:tc>
                <w:tcPr>
                  <w:tcW w:w="3409" w:type="pct"/>
                </w:tcPr>
                <w:p w14:paraId="216DFB3F" w14:textId="77777777" w:rsidR="004002DA" w:rsidRPr="0066181A" w:rsidRDefault="004002DA" w:rsidP="00475E00">
                  <w:pPr>
                    <w:snapToGrid w:val="0"/>
                    <w:spacing w:before="40" w:after="40" w:line="276" w:lineRule="auto"/>
                    <w:rPr>
                      <w:rFonts w:cs="Arial"/>
                      <w:sz w:val="20"/>
                      <w:lang w:val="en-US"/>
                    </w:rPr>
                  </w:pPr>
                  <w:r w:rsidRPr="0066181A">
                    <w:rPr>
                      <w:rFonts w:cs="Arial"/>
                      <w:sz w:val="20"/>
                      <w:lang w:val="en-US"/>
                    </w:rPr>
                    <w:t>Prime Minister’s Office (PMO), Ministry of Health (MoH), Ministry of Local Government (</w:t>
                  </w:r>
                  <w:proofErr w:type="spellStart"/>
                  <w:r w:rsidRPr="0066181A">
                    <w:rPr>
                      <w:rFonts w:cs="Arial"/>
                      <w:sz w:val="20"/>
                      <w:lang w:val="en-US"/>
                    </w:rPr>
                    <w:t>MoLG</w:t>
                  </w:r>
                  <w:proofErr w:type="spellEnd"/>
                  <w:r w:rsidRPr="0066181A">
                    <w:rPr>
                      <w:rFonts w:cs="Arial"/>
                      <w:sz w:val="20"/>
                      <w:lang w:val="en-US"/>
                    </w:rPr>
                    <w:t>), World Health Organization (WHO), Local NGO’s, CSO’s and CBO’s</w:t>
                  </w:r>
                </w:p>
              </w:tc>
            </w:tr>
            <w:tr w:rsidR="004002DA" w:rsidRPr="0066181A" w14:paraId="2519EECD" w14:textId="77777777" w:rsidTr="0013437E">
              <w:trPr>
                <w:trHeight w:hRule="exact" w:val="532"/>
              </w:trPr>
              <w:tc>
                <w:tcPr>
                  <w:tcW w:w="1591" w:type="pct"/>
                </w:tcPr>
                <w:p w14:paraId="77260EE7" w14:textId="77777777" w:rsidR="004002DA" w:rsidRPr="0066181A" w:rsidRDefault="004002DA" w:rsidP="004002DA">
                  <w:pPr>
                    <w:snapToGrid w:val="0"/>
                    <w:spacing w:before="40" w:after="40"/>
                    <w:rPr>
                      <w:rFonts w:cs="Arial"/>
                      <w:b/>
                      <w:sz w:val="20"/>
                      <w:lang w:eastAsia="ja-JP"/>
                    </w:rPr>
                  </w:pPr>
                  <w:r w:rsidRPr="0066181A">
                    <w:rPr>
                      <w:rFonts w:cs="Arial"/>
                      <w:b/>
                      <w:sz w:val="20"/>
                      <w:lang w:eastAsia="ja-JP"/>
                    </w:rPr>
                    <w:t>Date submitted</w:t>
                  </w:r>
                </w:p>
              </w:tc>
              <w:tc>
                <w:tcPr>
                  <w:tcW w:w="3409" w:type="pct"/>
                </w:tcPr>
                <w:p w14:paraId="0A16BB3E" w14:textId="77777777" w:rsidR="004002DA" w:rsidRPr="0066181A" w:rsidRDefault="004002DA" w:rsidP="00475E00">
                  <w:pPr>
                    <w:snapToGrid w:val="0"/>
                    <w:spacing w:before="40" w:after="40" w:line="276" w:lineRule="auto"/>
                    <w:rPr>
                      <w:rFonts w:cs="Arial"/>
                      <w:sz w:val="20"/>
                    </w:rPr>
                  </w:pPr>
                  <w:r w:rsidRPr="0066181A">
                    <w:rPr>
                      <w:rFonts w:cs="Arial"/>
                      <w:sz w:val="20"/>
                    </w:rPr>
                    <w:t>19 August 2020</w:t>
                  </w:r>
                </w:p>
              </w:tc>
            </w:tr>
            <w:tr w:rsidR="004002DA" w:rsidRPr="006F767C" w14:paraId="0E450DA7" w14:textId="77777777" w:rsidTr="0013437E">
              <w:trPr>
                <w:trHeight w:hRule="exact" w:val="1059"/>
              </w:trPr>
              <w:tc>
                <w:tcPr>
                  <w:tcW w:w="1591" w:type="pct"/>
                </w:tcPr>
                <w:p w14:paraId="6EEAE791" w14:textId="77777777" w:rsidR="004002DA" w:rsidRPr="0066181A" w:rsidRDefault="004002DA" w:rsidP="004002DA">
                  <w:pPr>
                    <w:snapToGrid w:val="0"/>
                    <w:spacing w:before="40" w:after="40"/>
                    <w:rPr>
                      <w:rFonts w:cs="Arial"/>
                      <w:b/>
                      <w:sz w:val="20"/>
                      <w:lang w:eastAsia="ja-JP"/>
                    </w:rPr>
                  </w:pPr>
                  <w:r w:rsidRPr="0066181A">
                    <w:rPr>
                      <w:rFonts w:cs="Arial"/>
                      <w:b/>
                      <w:sz w:val="20"/>
                      <w:lang w:eastAsia="ja-JP"/>
                    </w:rPr>
                    <w:t xml:space="preserve">UNDP contact </w:t>
                  </w:r>
                </w:p>
              </w:tc>
              <w:tc>
                <w:tcPr>
                  <w:tcW w:w="3409" w:type="pct"/>
                </w:tcPr>
                <w:p w14:paraId="44C28F40" w14:textId="77777777" w:rsidR="004002DA" w:rsidRPr="0066181A" w:rsidRDefault="004002DA" w:rsidP="00475E00">
                  <w:pPr>
                    <w:snapToGrid w:val="0"/>
                    <w:spacing w:before="40" w:after="40" w:line="276" w:lineRule="auto"/>
                    <w:rPr>
                      <w:rFonts w:cs="Arial"/>
                      <w:sz w:val="20"/>
                      <w:lang w:val="en-US"/>
                    </w:rPr>
                  </w:pPr>
                  <w:r w:rsidRPr="0066181A">
                    <w:rPr>
                      <w:rFonts w:cs="Arial"/>
                      <w:sz w:val="20"/>
                      <w:lang w:val="en-US"/>
                    </w:rPr>
                    <w:t>Yvonne Helle</w:t>
                  </w:r>
                </w:p>
                <w:p w14:paraId="76FE618A" w14:textId="77777777" w:rsidR="004002DA" w:rsidRPr="0066181A" w:rsidRDefault="004002DA" w:rsidP="00475E00">
                  <w:pPr>
                    <w:snapToGrid w:val="0"/>
                    <w:spacing w:before="40" w:after="40" w:line="276" w:lineRule="auto"/>
                    <w:rPr>
                      <w:rFonts w:cs="Arial"/>
                      <w:sz w:val="20"/>
                      <w:lang w:val="en-US"/>
                    </w:rPr>
                  </w:pPr>
                  <w:r w:rsidRPr="0066181A">
                    <w:rPr>
                      <w:rFonts w:cs="Arial"/>
                      <w:sz w:val="20"/>
                      <w:lang w:val="en-US"/>
                    </w:rPr>
                    <w:t>UNDP Special Representative</w:t>
                  </w:r>
                </w:p>
                <w:p w14:paraId="17F0DC6D" w14:textId="77777777" w:rsidR="004002DA" w:rsidRPr="0066181A" w:rsidRDefault="004002DA" w:rsidP="00475E00">
                  <w:pPr>
                    <w:snapToGrid w:val="0"/>
                    <w:spacing w:before="40" w:after="40" w:line="276" w:lineRule="auto"/>
                    <w:rPr>
                      <w:rFonts w:cs="Arial"/>
                      <w:sz w:val="20"/>
                      <w:lang w:val="en-US"/>
                    </w:rPr>
                  </w:pPr>
                  <w:r w:rsidRPr="0066181A">
                    <w:rPr>
                      <w:rFonts w:cs="Arial"/>
                      <w:sz w:val="20"/>
                      <w:lang w:val="en-US"/>
                    </w:rPr>
                    <w:t>yvonne.helle@undp.org</w:t>
                  </w:r>
                </w:p>
              </w:tc>
            </w:tr>
          </w:tbl>
          <w:p w14:paraId="0A298129" w14:textId="77777777" w:rsidR="004002DA" w:rsidRPr="0066181A" w:rsidRDefault="004002DA" w:rsidP="004002DA">
            <w:pPr>
              <w:rPr>
                <w:rFonts w:cs="Arial"/>
                <w:sz w:val="20"/>
                <w:lang w:val="en-US"/>
              </w:rPr>
            </w:pPr>
          </w:p>
        </w:tc>
      </w:tr>
      <w:tr w:rsidR="004002DA" w:rsidRPr="0041504B" w14:paraId="60D3F1A5" w14:textId="77777777" w:rsidTr="0013437E">
        <w:trPr>
          <w:trHeight w:val="1770"/>
        </w:trPr>
        <w:tc>
          <w:tcPr>
            <w:tcW w:w="4019" w:type="dxa"/>
            <w:tcBorders>
              <w:top w:val="single" w:sz="4" w:space="0" w:color="auto"/>
              <w:left w:val="single" w:sz="4" w:space="0" w:color="auto"/>
              <w:bottom w:val="single" w:sz="4" w:space="0" w:color="auto"/>
              <w:right w:val="single" w:sz="4" w:space="0" w:color="auto"/>
            </w:tcBorders>
            <w:shd w:val="clear" w:color="auto" w:fill="auto"/>
          </w:tcPr>
          <w:p w14:paraId="196C9F7B" w14:textId="77777777" w:rsidR="004002DA" w:rsidRPr="0066181A" w:rsidRDefault="004002DA" w:rsidP="004002DA">
            <w:pPr>
              <w:rPr>
                <w:rFonts w:cs="Arial"/>
                <w:b/>
                <w:sz w:val="20"/>
                <w:lang w:val="en-US"/>
              </w:rPr>
            </w:pPr>
            <w:r w:rsidRPr="0066181A">
              <w:rPr>
                <w:rFonts w:cs="Arial"/>
                <w:b/>
                <w:bCs/>
                <w:sz w:val="20"/>
                <w:lang w:val="en-US"/>
              </w:rPr>
              <w:lastRenderedPageBreak/>
              <w:t>Contributing Outcome (UNSDCF/CPD, RPD or GPD):</w:t>
            </w:r>
          </w:p>
          <w:p w14:paraId="772EF93D" w14:textId="77777777" w:rsidR="004002DA" w:rsidRPr="0066181A" w:rsidRDefault="004002DA" w:rsidP="004002DA">
            <w:pPr>
              <w:rPr>
                <w:rFonts w:cs="Arial"/>
                <w:sz w:val="20"/>
                <w:lang w:val="en-US"/>
              </w:rPr>
            </w:pPr>
            <w:r w:rsidRPr="0066181A">
              <w:rPr>
                <w:rFonts w:cs="Arial"/>
                <w:sz w:val="20"/>
                <w:lang w:val="en-US"/>
              </w:rPr>
              <w:t xml:space="preserve">UNDAF Outcome </w:t>
            </w:r>
            <w:r w:rsidRPr="0066181A">
              <w:rPr>
                <w:rFonts w:eastAsia="Arial" w:cs="Arial"/>
                <w:sz w:val="20"/>
                <w:lang w:val="en-US"/>
              </w:rPr>
              <w:t>1.2: A strong Palestinian national identity prevails</w:t>
            </w:r>
          </w:p>
          <w:p w14:paraId="601C84E8" w14:textId="77777777" w:rsidR="004002DA" w:rsidRPr="0066181A" w:rsidRDefault="004002DA" w:rsidP="004002DA">
            <w:pPr>
              <w:rPr>
                <w:rFonts w:cs="Arial"/>
                <w:sz w:val="20"/>
                <w:lang w:val="en-US"/>
              </w:rPr>
            </w:pPr>
            <w:r w:rsidRPr="0066181A">
              <w:rPr>
                <w:rFonts w:cs="Arial"/>
                <w:sz w:val="20"/>
                <w:lang w:val="en-US"/>
              </w:rPr>
              <w:t>UNDAF Outcome 3.2: Palestinians have greater access to decent productive jobs</w:t>
            </w:r>
          </w:p>
          <w:p w14:paraId="412399EA" w14:textId="77777777" w:rsidR="004002DA" w:rsidRPr="0066181A" w:rsidRDefault="004002DA" w:rsidP="004002DA">
            <w:pPr>
              <w:rPr>
                <w:rFonts w:cs="Arial"/>
                <w:sz w:val="20"/>
                <w:lang w:val="en-US"/>
              </w:rPr>
            </w:pPr>
            <w:r w:rsidRPr="0066181A">
              <w:rPr>
                <w:rFonts w:cs="Arial"/>
                <w:sz w:val="20"/>
                <w:lang w:val="en-US"/>
              </w:rPr>
              <w:t>UNDAF Outcome 4.1: More Palestinians, especially the most vulnerable, benefit from safe, inclusive, equitable and quality services</w:t>
            </w:r>
          </w:p>
          <w:p w14:paraId="0DD4737D" w14:textId="77777777" w:rsidR="004002DA" w:rsidRPr="0066181A" w:rsidRDefault="004002DA" w:rsidP="004002DA">
            <w:pPr>
              <w:rPr>
                <w:rFonts w:cs="Arial"/>
                <w:sz w:val="20"/>
                <w:lang w:val="en-US"/>
              </w:rPr>
            </w:pPr>
            <w:r w:rsidRPr="0066181A">
              <w:rPr>
                <w:rFonts w:cs="Arial"/>
                <w:sz w:val="20"/>
                <w:lang w:val="en-US"/>
              </w:rPr>
              <w:t>National Policy Agenda (NPA), National Priority 10: Resilient Communities</w:t>
            </w:r>
          </w:p>
          <w:p w14:paraId="2A5F2ED8" w14:textId="77777777" w:rsidR="004002DA" w:rsidRPr="0066181A" w:rsidRDefault="004002DA" w:rsidP="004002DA">
            <w:pPr>
              <w:rPr>
                <w:rFonts w:cs="Arial"/>
                <w:sz w:val="20"/>
                <w:lang w:val="en-US"/>
              </w:rPr>
            </w:pPr>
          </w:p>
          <w:p w14:paraId="2094E34C" w14:textId="77777777" w:rsidR="004002DA" w:rsidRPr="0066181A" w:rsidRDefault="004002DA" w:rsidP="004002DA">
            <w:pPr>
              <w:rPr>
                <w:rFonts w:cs="Arial"/>
                <w:b/>
                <w:sz w:val="20"/>
                <w:lang w:val="en-US"/>
              </w:rPr>
            </w:pPr>
            <w:r w:rsidRPr="0066181A">
              <w:rPr>
                <w:rFonts w:cs="Arial"/>
                <w:b/>
                <w:sz w:val="20"/>
                <w:lang w:val="en-US"/>
              </w:rPr>
              <w:t>Indicative Output(s) with gender marker</w:t>
            </w:r>
            <w:r w:rsidRPr="0066181A">
              <w:rPr>
                <w:rFonts w:cs="Arial"/>
                <w:b/>
                <w:sz w:val="20"/>
                <w:vertAlign w:val="superscript"/>
                <w:lang w:val="en-US"/>
              </w:rPr>
              <w:t>2</w:t>
            </w:r>
            <w:r w:rsidRPr="0066181A">
              <w:rPr>
                <w:rFonts w:cs="Arial"/>
                <w:b/>
                <w:sz w:val="20"/>
                <w:lang w:val="en-US"/>
              </w:rPr>
              <w:t>:</w:t>
            </w:r>
          </w:p>
          <w:p w14:paraId="0AE09163" w14:textId="77777777" w:rsidR="004002DA" w:rsidRPr="0066181A" w:rsidRDefault="004002DA" w:rsidP="004002DA">
            <w:pPr>
              <w:rPr>
                <w:rFonts w:cs="Arial"/>
                <w:sz w:val="20"/>
                <w:lang w:val="en-US"/>
              </w:rPr>
            </w:pPr>
            <w:r w:rsidRPr="0066181A">
              <w:rPr>
                <w:rFonts w:cs="Arial"/>
                <w:sz w:val="20"/>
                <w:lang w:val="en-US"/>
              </w:rPr>
              <w:t>The list of outputs is included above.</w:t>
            </w:r>
          </w:p>
          <w:p w14:paraId="64362DF9" w14:textId="77777777" w:rsidR="004002DA" w:rsidRPr="0066181A" w:rsidRDefault="004002DA" w:rsidP="004002DA">
            <w:pPr>
              <w:rPr>
                <w:rFonts w:cs="Arial"/>
                <w:sz w:val="20"/>
                <w:lang w:val="en-US"/>
              </w:rPr>
            </w:pPr>
            <w:r w:rsidRPr="0066181A">
              <w:rPr>
                <w:rFonts w:cs="Arial"/>
                <w:sz w:val="20"/>
                <w:lang w:val="en-US"/>
              </w:rPr>
              <w:t xml:space="preserve">Outputs 2.1 and 2.2 GEN 2, Outputs 1.1, 1.2, 1.3 GEN1. </w:t>
            </w:r>
          </w:p>
          <w:p w14:paraId="0D8E8D57" w14:textId="77777777" w:rsidR="004002DA" w:rsidRPr="0066181A" w:rsidRDefault="004002DA" w:rsidP="004002DA">
            <w:pPr>
              <w:rPr>
                <w:rFonts w:cs="Arial"/>
                <w:sz w:val="20"/>
              </w:rPr>
            </w:pPr>
            <w:r w:rsidRPr="0066181A">
              <w:rPr>
                <w:rFonts w:cs="Arial"/>
                <w:sz w:val="20"/>
              </w:rPr>
              <w:t>Overall Programme Gender Marker = 1</w:t>
            </w:r>
          </w:p>
        </w:tc>
        <w:tc>
          <w:tcPr>
            <w:tcW w:w="5002"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461"/>
              <w:gridCol w:w="1691"/>
            </w:tblGrid>
            <w:tr w:rsidR="004002DA" w:rsidRPr="0066181A" w14:paraId="721F2741" w14:textId="77777777" w:rsidTr="0013437E">
              <w:trPr>
                <w:trHeight w:val="1253"/>
              </w:trPr>
              <w:tc>
                <w:tcPr>
                  <w:tcW w:w="1583" w:type="dxa"/>
                  <w:shd w:val="clear" w:color="auto" w:fill="auto"/>
                </w:tcPr>
                <w:p w14:paraId="30D0FAF4" w14:textId="77777777" w:rsidR="004002DA" w:rsidRPr="0066181A" w:rsidRDefault="004002DA" w:rsidP="004002DA">
                  <w:pPr>
                    <w:spacing w:before="60"/>
                    <w:rPr>
                      <w:rFonts w:cs="Arial"/>
                      <w:b/>
                      <w:sz w:val="20"/>
                    </w:rPr>
                  </w:pPr>
                  <w:r w:rsidRPr="0066181A">
                    <w:rPr>
                      <w:rFonts w:cs="Arial"/>
                      <w:b/>
                      <w:sz w:val="20"/>
                    </w:rPr>
                    <w:t>Total resources required:</w:t>
                  </w:r>
                </w:p>
              </w:tc>
              <w:tc>
                <w:tcPr>
                  <w:tcW w:w="3100" w:type="dxa"/>
                  <w:gridSpan w:val="2"/>
                  <w:shd w:val="clear" w:color="auto" w:fill="auto"/>
                  <w:vAlign w:val="center"/>
                </w:tcPr>
                <w:p w14:paraId="5C382CE5" w14:textId="77777777" w:rsidR="004002DA" w:rsidRPr="0066181A" w:rsidRDefault="004002DA" w:rsidP="004002DA">
                  <w:pPr>
                    <w:rPr>
                      <w:rFonts w:cs="Arial"/>
                      <w:sz w:val="20"/>
                    </w:rPr>
                  </w:pPr>
                  <w:r w:rsidRPr="0066181A">
                    <w:rPr>
                      <w:rFonts w:cs="Arial"/>
                      <w:sz w:val="20"/>
                    </w:rPr>
                    <w:t>EUR 10.0 million plus EUR 7.0 million supplement grant</w:t>
                  </w:r>
                </w:p>
              </w:tc>
            </w:tr>
            <w:tr w:rsidR="004002DA" w:rsidRPr="0066181A" w14:paraId="7CC70F3B" w14:textId="77777777" w:rsidTr="0013437E">
              <w:trPr>
                <w:trHeight w:val="379"/>
              </w:trPr>
              <w:tc>
                <w:tcPr>
                  <w:tcW w:w="1583" w:type="dxa"/>
                  <w:vMerge w:val="restart"/>
                  <w:shd w:val="clear" w:color="auto" w:fill="auto"/>
                </w:tcPr>
                <w:p w14:paraId="3031CF31" w14:textId="77777777" w:rsidR="004002DA" w:rsidRPr="0066181A" w:rsidRDefault="004002DA" w:rsidP="004002DA">
                  <w:pPr>
                    <w:spacing w:before="60"/>
                    <w:rPr>
                      <w:rFonts w:cs="Arial"/>
                      <w:b/>
                      <w:sz w:val="20"/>
                    </w:rPr>
                  </w:pPr>
                  <w:r w:rsidRPr="0066181A">
                    <w:rPr>
                      <w:rFonts w:cs="Arial"/>
                      <w:b/>
                      <w:sz w:val="20"/>
                    </w:rPr>
                    <w:t>Total resources allocated:</w:t>
                  </w:r>
                </w:p>
              </w:tc>
              <w:tc>
                <w:tcPr>
                  <w:tcW w:w="3100" w:type="dxa"/>
                  <w:gridSpan w:val="2"/>
                  <w:shd w:val="clear" w:color="auto" w:fill="auto"/>
                  <w:vAlign w:val="center"/>
                </w:tcPr>
                <w:p w14:paraId="01E657E8" w14:textId="77777777" w:rsidR="004002DA" w:rsidRPr="0066181A" w:rsidRDefault="004002DA" w:rsidP="004002DA">
                  <w:pPr>
                    <w:jc w:val="right"/>
                    <w:rPr>
                      <w:rFonts w:cs="Arial"/>
                      <w:sz w:val="20"/>
                    </w:rPr>
                  </w:pPr>
                </w:p>
              </w:tc>
            </w:tr>
            <w:tr w:rsidR="004002DA" w:rsidRPr="0066181A" w14:paraId="0792FF0C" w14:textId="77777777" w:rsidTr="0013437E">
              <w:trPr>
                <w:trHeight w:val="412"/>
              </w:trPr>
              <w:tc>
                <w:tcPr>
                  <w:tcW w:w="1583" w:type="dxa"/>
                  <w:vMerge/>
                  <w:shd w:val="clear" w:color="auto" w:fill="auto"/>
                </w:tcPr>
                <w:p w14:paraId="7BA0543A" w14:textId="77777777" w:rsidR="004002DA" w:rsidRPr="0066181A" w:rsidRDefault="004002DA" w:rsidP="004002DA">
                  <w:pPr>
                    <w:rPr>
                      <w:rFonts w:cs="Arial"/>
                      <w:sz w:val="20"/>
                    </w:rPr>
                  </w:pPr>
                </w:p>
              </w:tc>
              <w:tc>
                <w:tcPr>
                  <w:tcW w:w="1409" w:type="dxa"/>
                  <w:shd w:val="clear" w:color="auto" w:fill="auto"/>
                  <w:vAlign w:val="center"/>
                </w:tcPr>
                <w:p w14:paraId="50CC2756" w14:textId="77777777" w:rsidR="004002DA" w:rsidRPr="0066181A" w:rsidRDefault="004002DA" w:rsidP="004002DA">
                  <w:pPr>
                    <w:jc w:val="right"/>
                    <w:rPr>
                      <w:rFonts w:cs="Arial"/>
                      <w:b/>
                      <w:sz w:val="20"/>
                    </w:rPr>
                  </w:pPr>
                  <w:r w:rsidRPr="0066181A">
                    <w:rPr>
                      <w:rFonts w:cs="Arial"/>
                      <w:b/>
                      <w:sz w:val="20"/>
                    </w:rPr>
                    <w:t>UNDP TRAC:</w:t>
                  </w:r>
                </w:p>
              </w:tc>
              <w:tc>
                <w:tcPr>
                  <w:tcW w:w="1691" w:type="dxa"/>
                  <w:shd w:val="clear" w:color="auto" w:fill="auto"/>
                  <w:vAlign w:val="center"/>
                </w:tcPr>
                <w:p w14:paraId="430DE83B" w14:textId="77777777" w:rsidR="004002DA" w:rsidRPr="0066181A" w:rsidRDefault="004002DA" w:rsidP="004002DA">
                  <w:pPr>
                    <w:jc w:val="center"/>
                    <w:rPr>
                      <w:rFonts w:cs="Arial"/>
                      <w:sz w:val="20"/>
                    </w:rPr>
                  </w:pPr>
                </w:p>
              </w:tc>
            </w:tr>
            <w:tr w:rsidR="004002DA" w:rsidRPr="006F767C" w14:paraId="4BBDC242" w14:textId="77777777" w:rsidTr="0013437E">
              <w:trPr>
                <w:trHeight w:val="1203"/>
              </w:trPr>
              <w:tc>
                <w:tcPr>
                  <w:tcW w:w="1583" w:type="dxa"/>
                  <w:vMerge/>
                  <w:shd w:val="clear" w:color="auto" w:fill="auto"/>
                </w:tcPr>
                <w:p w14:paraId="2D4F1A25" w14:textId="77777777" w:rsidR="004002DA" w:rsidRPr="0066181A" w:rsidRDefault="004002DA" w:rsidP="004002DA">
                  <w:pPr>
                    <w:rPr>
                      <w:rFonts w:cs="Arial"/>
                      <w:sz w:val="20"/>
                    </w:rPr>
                  </w:pPr>
                </w:p>
              </w:tc>
              <w:tc>
                <w:tcPr>
                  <w:tcW w:w="1409" w:type="dxa"/>
                  <w:shd w:val="clear" w:color="auto" w:fill="auto"/>
                  <w:vAlign w:val="center"/>
                </w:tcPr>
                <w:p w14:paraId="4EAACC6A" w14:textId="77777777" w:rsidR="004002DA" w:rsidRPr="0066181A" w:rsidRDefault="004002DA" w:rsidP="004002DA">
                  <w:pPr>
                    <w:jc w:val="right"/>
                    <w:rPr>
                      <w:rFonts w:cs="Arial"/>
                      <w:b/>
                      <w:sz w:val="20"/>
                      <w:lang w:val="en-US"/>
                    </w:rPr>
                  </w:pPr>
                  <w:r w:rsidRPr="0066181A">
                    <w:rPr>
                      <w:rFonts w:cs="Arial"/>
                      <w:b/>
                      <w:sz w:val="20"/>
                      <w:lang w:val="en-US"/>
                    </w:rPr>
                    <w:t>All Donors (incl. BMZ funding):</w:t>
                  </w:r>
                </w:p>
              </w:tc>
              <w:tc>
                <w:tcPr>
                  <w:tcW w:w="1691" w:type="dxa"/>
                  <w:shd w:val="clear" w:color="auto" w:fill="auto"/>
                  <w:vAlign w:val="center"/>
                </w:tcPr>
                <w:p w14:paraId="0970E996" w14:textId="77777777" w:rsidR="004002DA" w:rsidRPr="0066181A" w:rsidRDefault="004002DA" w:rsidP="004002DA">
                  <w:pPr>
                    <w:jc w:val="center"/>
                    <w:rPr>
                      <w:rFonts w:cs="Arial"/>
                      <w:sz w:val="20"/>
                      <w:lang w:val="en-US"/>
                    </w:rPr>
                  </w:pPr>
                </w:p>
              </w:tc>
            </w:tr>
            <w:tr w:rsidR="004002DA" w:rsidRPr="0066181A" w14:paraId="2B13B7E2" w14:textId="77777777" w:rsidTr="0013437E">
              <w:trPr>
                <w:trHeight w:val="395"/>
              </w:trPr>
              <w:tc>
                <w:tcPr>
                  <w:tcW w:w="1583" w:type="dxa"/>
                  <w:vMerge/>
                  <w:shd w:val="clear" w:color="auto" w:fill="auto"/>
                </w:tcPr>
                <w:p w14:paraId="49D2429B" w14:textId="77777777" w:rsidR="004002DA" w:rsidRPr="0066181A" w:rsidRDefault="004002DA" w:rsidP="004002DA">
                  <w:pPr>
                    <w:rPr>
                      <w:rFonts w:cs="Arial"/>
                      <w:sz w:val="20"/>
                      <w:lang w:val="en-US"/>
                    </w:rPr>
                  </w:pPr>
                </w:p>
              </w:tc>
              <w:tc>
                <w:tcPr>
                  <w:tcW w:w="1409" w:type="dxa"/>
                  <w:shd w:val="clear" w:color="auto" w:fill="auto"/>
                  <w:vAlign w:val="center"/>
                </w:tcPr>
                <w:p w14:paraId="22520BFA" w14:textId="77777777" w:rsidR="004002DA" w:rsidRPr="0066181A" w:rsidRDefault="004002DA" w:rsidP="004002DA">
                  <w:pPr>
                    <w:jc w:val="right"/>
                    <w:rPr>
                      <w:rFonts w:cs="Arial"/>
                      <w:b/>
                      <w:sz w:val="20"/>
                    </w:rPr>
                  </w:pPr>
                  <w:r w:rsidRPr="0066181A">
                    <w:rPr>
                      <w:rFonts w:cs="Arial"/>
                      <w:b/>
                      <w:sz w:val="20"/>
                    </w:rPr>
                    <w:t>Government:</w:t>
                  </w:r>
                </w:p>
              </w:tc>
              <w:tc>
                <w:tcPr>
                  <w:tcW w:w="1691" w:type="dxa"/>
                  <w:shd w:val="clear" w:color="auto" w:fill="auto"/>
                  <w:vAlign w:val="center"/>
                </w:tcPr>
                <w:p w14:paraId="40A23D3A" w14:textId="77777777" w:rsidR="004002DA" w:rsidRPr="0066181A" w:rsidRDefault="004002DA" w:rsidP="004002DA">
                  <w:pPr>
                    <w:jc w:val="center"/>
                    <w:rPr>
                      <w:rFonts w:cs="Arial"/>
                      <w:sz w:val="20"/>
                    </w:rPr>
                  </w:pPr>
                </w:p>
              </w:tc>
            </w:tr>
            <w:tr w:rsidR="004002DA" w:rsidRPr="0066181A" w14:paraId="61B9857A" w14:textId="77777777" w:rsidTr="0013437E">
              <w:trPr>
                <w:trHeight w:val="345"/>
              </w:trPr>
              <w:tc>
                <w:tcPr>
                  <w:tcW w:w="1583" w:type="dxa"/>
                  <w:vMerge/>
                  <w:shd w:val="clear" w:color="auto" w:fill="auto"/>
                </w:tcPr>
                <w:p w14:paraId="2E821C77" w14:textId="77777777" w:rsidR="004002DA" w:rsidRPr="0066181A" w:rsidRDefault="004002DA" w:rsidP="004002DA">
                  <w:pPr>
                    <w:rPr>
                      <w:rFonts w:cs="Arial"/>
                      <w:sz w:val="20"/>
                    </w:rPr>
                  </w:pPr>
                </w:p>
              </w:tc>
              <w:tc>
                <w:tcPr>
                  <w:tcW w:w="1409" w:type="dxa"/>
                  <w:shd w:val="clear" w:color="auto" w:fill="auto"/>
                  <w:vAlign w:val="center"/>
                </w:tcPr>
                <w:p w14:paraId="508AC005" w14:textId="77777777" w:rsidR="004002DA" w:rsidRPr="0066181A" w:rsidRDefault="004002DA" w:rsidP="004002DA">
                  <w:pPr>
                    <w:jc w:val="right"/>
                    <w:rPr>
                      <w:rFonts w:cs="Arial"/>
                      <w:b/>
                      <w:sz w:val="20"/>
                    </w:rPr>
                  </w:pPr>
                  <w:r w:rsidRPr="0066181A">
                    <w:rPr>
                      <w:rFonts w:cs="Arial"/>
                      <w:b/>
                      <w:sz w:val="20"/>
                    </w:rPr>
                    <w:t>In-Kind:</w:t>
                  </w:r>
                </w:p>
              </w:tc>
              <w:tc>
                <w:tcPr>
                  <w:tcW w:w="1691" w:type="dxa"/>
                  <w:shd w:val="clear" w:color="auto" w:fill="auto"/>
                  <w:vAlign w:val="center"/>
                </w:tcPr>
                <w:p w14:paraId="75F561E5" w14:textId="77777777" w:rsidR="004002DA" w:rsidRPr="0066181A" w:rsidRDefault="004002DA" w:rsidP="004002DA">
                  <w:pPr>
                    <w:jc w:val="center"/>
                    <w:rPr>
                      <w:rFonts w:cs="Arial"/>
                      <w:sz w:val="20"/>
                    </w:rPr>
                  </w:pPr>
                </w:p>
              </w:tc>
            </w:tr>
            <w:tr w:rsidR="004002DA" w:rsidRPr="0066181A" w14:paraId="46D1A372" w14:textId="77777777" w:rsidTr="0013437E">
              <w:trPr>
                <w:trHeight w:val="345"/>
              </w:trPr>
              <w:tc>
                <w:tcPr>
                  <w:tcW w:w="1583" w:type="dxa"/>
                  <w:shd w:val="clear" w:color="auto" w:fill="auto"/>
                  <w:vAlign w:val="center"/>
                </w:tcPr>
                <w:p w14:paraId="254279C1" w14:textId="77777777" w:rsidR="004002DA" w:rsidRPr="0066181A" w:rsidRDefault="004002DA" w:rsidP="004002DA">
                  <w:pPr>
                    <w:rPr>
                      <w:rFonts w:cs="Arial"/>
                      <w:sz w:val="20"/>
                    </w:rPr>
                  </w:pPr>
                  <w:r w:rsidRPr="0066181A">
                    <w:rPr>
                      <w:rFonts w:cs="Arial"/>
                      <w:b/>
                      <w:sz w:val="20"/>
                    </w:rPr>
                    <w:t>Unfunded:</w:t>
                  </w:r>
                </w:p>
              </w:tc>
              <w:tc>
                <w:tcPr>
                  <w:tcW w:w="3100" w:type="dxa"/>
                  <w:gridSpan w:val="2"/>
                  <w:shd w:val="clear" w:color="auto" w:fill="auto"/>
                  <w:vAlign w:val="center"/>
                </w:tcPr>
                <w:p w14:paraId="0245B231" w14:textId="77777777" w:rsidR="004002DA" w:rsidRPr="0066181A" w:rsidRDefault="004002DA" w:rsidP="004002DA">
                  <w:pPr>
                    <w:jc w:val="right"/>
                    <w:rPr>
                      <w:rFonts w:cs="Arial"/>
                      <w:sz w:val="20"/>
                    </w:rPr>
                  </w:pPr>
                </w:p>
              </w:tc>
            </w:tr>
          </w:tbl>
          <w:p w14:paraId="7378153E" w14:textId="77777777" w:rsidR="004002DA" w:rsidRPr="0066181A" w:rsidRDefault="004002DA" w:rsidP="004002DA">
            <w:pPr>
              <w:spacing w:before="60"/>
              <w:rPr>
                <w:rFonts w:cs="Arial"/>
                <w:i/>
                <w:sz w:val="20"/>
              </w:rPr>
            </w:pPr>
          </w:p>
        </w:tc>
      </w:tr>
    </w:tbl>
    <w:p w14:paraId="2CADB702" w14:textId="77777777" w:rsidR="00D042A9" w:rsidRDefault="00D042A9">
      <w:pPr>
        <w:spacing w:line="240" w:lineRule="auto"/>
        <w:rPr>
          <w:rFonts w:asciiTheme="minorBidi" w:hAnsiTheme="minorBidi" w:cstheme="minorBidi"/>
          <w:b/>
          <w:color w:val="002060"/>
          <w:sz w:val="20"/>
          <w:lang w:eastAsia="en-US"/>
        </w:rPr>
      </w:pPr>
      <w:r>
        <w:rPr>
          <w:rFonts w:asciiTheme="minorBidi" w:hAnsiTheme="minorBidi" w:cstheme="minorBidi"/>
          <w:sz w:val="20"/>
        </w:rPr>
        <w:br w:type="page"/>
      </w:r>
    </w:p>
    <w:p w14:paraId="5AC76104" w14:textId="323815EB" w:rsidR="004002DA" w:rsidRPr="0041504B" w:rsidRDefault="004002DA" w:rsidP="004002DA">
      <w:pPr>
        <w:pStyle w:val="TOCHeading"/>
        <w:rPr>
          <w:rFonts w:asciiTheme="minorBidi" w:hAnsiTheme="minorBidi" w:cstheme="minorBidi"/>
          <w:sz w:val="20"/>
          <w:szCs w:val="20"/>
        </w:rPr>
      </w:pPr>
      <w:r w:rsidRPr="0041504B">
        <w:rPr>
          <w:rFonts w:asciiTheme="minorBidi" w:hAnsiTheme="minorBidi" w:cstheme="minorBidi"/>
          <w:sz w:val="20"/>
          <w:szCs w:val="20"/>
          <w:lang w:val="de-DE"/>
        </w:rPr>
        <w:lastRenderedPageBreak/>
        <w:t>Contents</w:t>
      </w:r>
    </w:p>
    <w:p w14:paraId="2DE1BA09" w14:textId="77777777" w:rsidR="004002DA" w:rsidRPr="007A244E" w:rsidRDefault="004002DA" w:rsidP="007A244E">
      <w:pPr>
        <w:pStyle w:val="TOC1"/>
        <w:tabs>
          <w:tab w:val="left" w:pos="567"/>
          <w:tab w:val="right" w:leader="dot" w:pos="9592"/>
        </w:tabs>
        <w:rPr>
          <w:rStyle w:val="Hyperlink"/>
          <w:rFonts w:asciiTheme="minorBidi" w:hAnsiTheme="minorBidi"/>
          <w:noProof/>
        </w:rPr>
      </w:pPr>
      <w:r w:rsidRPr="007A244E">
        <w:rPr>
          <w:rStyle w:val="Hyperlink"/>
          <w:noProof/>
        </w:rPr>
        <w:fldChar w:fldCharType="begin"/>
      </w:r>
      <w:r w:rsidRPr="007A244E">
        <w:rPr>
          <w:rStyle w:val="Hyperlink"/>
          <w:noProof/>
        </w:rPr>
        <w:instrText xml:space="preserve"> TOC \o "1-3" \h \z \u </w:instrText>
      </w:r>
      <w:r w:rsidRPr="007A244E">
        <w:rPr>
          <w:rStyle w:val="Hyperlink"/>
          <w:noProof/>
        </w:rPr>
        <w:fldChar w:fldCharType="separate"/>
      </w:r>
      <w:hyperlink w:anchor="_Toc48809745" w:history="1">
        <w:r w:rsidRPr="007F6BAD">
          <w:rPr>
            <w:rStyle w:val="Hyperlink"/>
            <w:rFonts w:asciiTheme="minorBidi" w:hAnsiTheme="minorBidi"/>
            <w:noProof/>
          </w:rPr>
          <w:t>I.</w:t>
        </w:r>
        <w:r w:rsidRPr="007A244E">
          <w:rPr>
            <w:rStyle w:val="Hyperlink"/>
            <w:rFonts w:asciiTheme="minorBidi" w:hAnsiTheme="minorBidi"/>
            <w:noProof/>
          </w:rPr>
          <w:tab/>
        </w:r>
        <w:r w:rsidRPr="007F6BAD">
          <w:rPr>
            <w:rStyle w:val="Hyperlink"/>
            <w:rFonts w:asciiTheme="minorBidi" w:hAnsiTheme="minorBidi"/>
            <w:noProof/>
          </w:rPr>
          <w:t>Executive Summary</w:t>
        </w:r>
        <w:r w:rsidRPr="007A244E">
          <w:rPr>
            <w:rStyle w:val="Hyperlink"/>
            <w:rFonts w:asciiTheme="minorBidi" w:hAnsiTheme="minorBidi"/>
            <w:noProof/>
            <w:webHidden/>
          </w:rPr>
          <w:tab/>
        </w:r>
        <w:r w:rsidRPr="007A244E">
          <w:rPr>
            <w:rStyle w:val="Hyperlink"/>
            <w:rFonts w:asciiTheme="minorBidi" w:hAnsiTheme="minorBidi"/>
            <w:noProof/>
            <w:webHidden/>
          </w:rPr>
          <w:fldChar w:fldCharType="begin"/>
        </w:r>
        <w:r w:rsidRPr="007A244E">
          <w:rPr>
            <w:rStyle w:val="Hyperlink"/>
            <w:rFonts w:asciiTheme="minorBidi" w:hAnsiTheme="minorBidi"/>
            <w:noProof/>
            <w:webHidden/>
          </w:rPr>
          <w:instrText xml:space="preserve"> PAGEREF _Toc48809745 \h </w:instrText>
        </w:r>
        <w:r w:rsidRPr="007A244E">
          <w:rPr>
            <w:rStyle w:val="Hyperlink"/>
            <w:rFonts w:asciiTheme="minorBidi" w:hAnsiTheme="minorBidi"/>
            <w:noProof/>
            <w:webHidden/>
          </w:rPr>
        </w:r>
        <w:r w:rsidRPr="007A244E">
          <w:rPr>
            <w:rStyle w:val="Hyperlink"/>
            <w:rFonts w:asciiTheme="minorBidi" w:hAnsiTheme="minorBidi"/>
            <w:noProof/>
            <w:webHidden/>
          </w:rPr>
          <w:fldChar w:fldCharType="separate"/>
        </w:r>
        <w:r w:rsidR="00F12C3C">
          <w:rPr>
            <w:rStyle w:val="Hyperlink"/>
            <w:rFonts w:asciiTheme="minorBidi" w:hAnsiTheme="minorBidi"/>
            <w:noProof/>
            <w:webHidden/>
          </w:rPr>
          <w:t>5</w:t>
        </w:r>
        <w:r w:rsidRPr="007A244E">
          <w:rPr>
            <w:rStyle w:val="Hyperlink"/>
            <w:rFonts w:asciiTheme="minorBidi" w:hAnsiTheme="minorBidi"/>
            <w:noProof/>
            <w:webHidden/>
          </w:rPr>
          <w:fldChar w:fldCharType="end"/>
        </w:r>
      </w:hyperlink>
    </w:p>
    <w:p w14:paraId="47AAAE1B" w14:textId="77777777" w:rsidR="004002DA" w:rsidRPr="007A244E" w:rsidRDefault="000A4130" w:rsidP="007A244E">
      <w:pPr>
        <w:pStyle w:val="TOC1"/>
        <w:tabs>
          <w:tab w:val="left" w:pos="567"/>
          <w:tab w:val="right" w:leader="dot" w:pos="9592"/>
        </w:tabs>
        <w:rPr>
          <w:rStyle w:val="Hyperlink"/>
          <w:rFonts w:asciiTheme="minorBidi" w:hAnsiTheme="minorBidi"/>
          <w:noProof/>
        </w:rPr>
      </w:pPr>
      <w:hyperlink w:anchor="_Toc48809746" w:history="1">
        <w:r w:rsidR="004002DA" w:rsidRPr="007A244E">
          <w:rPr>
            <w:rStyle w:val="Hyperlink"/>
            <w:rFonts w:asciiTheme="minorBidi" w:hAnsiTheme="minorBidi"/>
            <w:noProof/>
          </w:rPr>
          <w:t>II.</w:t>
        </w:r>
        <w:r w:rsidR="004002DA" w:rsidRPr="007A244E">
          <w:rPr>
            <w:rStyle w:val="Hyperlink"/>
            <w:rFonts w:asciiTheme="minorBidi" w:hAnsiTheme="minorBidi"/>
            <w:noProof/>
          </w:rPr>
          <w:tab/>
        </w:r>
        <w:r w:rsidR="004002DA" w:rsidRPr="0066181A">
          <w:rPr>
            <w:rStyle w:val="Hyperlink"/>
            <w:rFonts w:cs="Arial"/>
            <w:noProof/>
            <w:sz w:val="20"/>
            <w:szCs w:val="20"/>
          </w:rPr>
          <w:t>Development</w:t>
        </w:r>
        <w:r w:rsidR="004002DA" w:rsidRPr="007F6BAD">
          <w:rPr>
            <w:rStyle w:val="Hyperlink"/>
            <w:rFonts w:asciiTheme="minorBidi" w:hAnsiTheme="minorBidi"/>
            <w:noProof/>
          </w:rPr>
          <w:t xml:space="preserve"> Challenge</w:t>
        </w:r>
        <w:r w:rsidR="004002DA" w:rsidRPr="007A244E">
          <w:rPr>
            <w:rStyle w:val="Hyperlink"/>
            <w:rFonts w:asciiTheme="minorBidi" w:hAnsiTheme="minorBidi"/>
            <w:noProof/>
            <w:webHidden/>
          </w:rPr>
          <w:tab/>
        </w:r>
        <w:r w:rsidR="004002DA" w:rsidRPr="007A244E">
          <w:rPr>
            <w:rStyle w:val="Hyperlink"/>
            <w:rFonts w:asciiTheme="minorBidi" w:hAnsiTheme="minorBidi"/>
            <w:noProof/>
            <w:webHidden/>
          </w:rPr>
          <w:fldChar w:fldCharType="begin"/>
        </w:r>
        <w:r w:rsidR="004002DA" w:rsidRPr="007A244E">
          <w:rPr>
            <w:rStyle w:val="Hyperlink"/>
            <w:rFonts w:asciiTheme="minorBidi" w:hAnsiTheme="minorBidi"/>
            <w:noProof/>
            <w:webHidden/>
          </w:rPr>
          <w:instrText xml:space="preserve"> PAGEREF _Toc48809746 \h </w:instrText>
        </w:r>
        <w:r w:rsidR="004002DA" w:rsidRPr="007A244E">
          <w:rPr>
            <w:rStyle w:val="Hyperlink"/>
            <w:rFonts w:asciiTheme="minorBidi" w:hAnsiTheme="minorBidi"/>
            <w:noProof/>
            <w:webHidden/>
          </w:rPr>
        </w:r>
        <w:r w:rsidR="004002DA" w:rsidRPr="007A244E">
          <w:rPr>
            <w:rStyle w:val="Hyperlink"/>
            <w:rFonts w:asciiTheme="minorBidi" w:hAnsiTheme="minorBidi"/>
            <w:noProof/>
            <w:webHidden/>
          </w:rPr>
          <w:fldChar w:fldCharType="separate"/>
        </w:r>
        <w:r w:rsidR="00F12C3C">
          <w:rPr>
            <w:rStyle w:val="Hyperlink"/>
            <w:rFonts w:asciiTheme="minorBidi" w:hAnsiTheme="minorBidi"/>
            <w:noProof/>
            <w:webHidden/>
          </w:rPr>
          <w:t>5</w:t>
        </w:r>
        <w:r w:rsidR="004002DA" w:rsidRPr="007A244E">
          <w:rPr>
            <w:rStyle w:val="Hyperlink"/>
            <w:rFonts w:asciiTheme="minorBidi" w:hAnsiTheme="minorBidi"/>
            <w:noProof/>
            <w:webHidden/>
          </w:rPr>
          <w:fldChar w:fldCharType="end"/>
        </w:r>
      </w:hyperlink>
    </w:p>
    <w:p w14:paraId="79E61C8B" w14:textId="77777777" w:rsidR="004002DA" w:rsidRPr="007A244E" w:rsidRDefault="000A4130" w:rsidP="007A244E">
      <w:pPr>
        <w:pStyle w:val="TOC1"/>
        <w:tabs>
          <w:tab w:val="left" w:pos="567"/>
          <w:tab w:val="right" w:leader="dot" w:pos="9592"/>
        </w:tabs>
        <w:rPr>
          <w:rStyle w:val="Hyperlink"/>
          <w:rFonts w:asciiTheme="minorBidi" w:hAnsiTheme="minorBidi"/>
          <w:noProof/>
        </w:rPr>
      </w:pPr>
      <w:hyperlink w:anchor="_Toc48809747" w:history="1">
        <w:r w:rsidR="004002DA" w:rsidRPr="007F6BAD">
          <w:rPr>
            <w:rStyle w:val="Hyperlink"/>
            <w:rFonts w:asciiTheme="minorBidi" w:hAnsiTheme="minorBidi"/>
            <w:noProof/>
          </w:rPr>
          <w:t>III.</w:t>
        </w:r>
        <w:r w:rsidR="004002DA" w:rsidRPr="007A244E">
          <w:rPr>
            <w:rStyle w:val="Hyperlink"/>
            <w:rFonts w:asciiTheme="minorBidi" w:hAnsiTheme="minorBidi"/>
            <w:noProof/>
          </w:rPr>
          <w:tab/>
        </w:r>
        <w:r w:rsidR="004002DA" w:rsidRPr="0066181A">
          <w:rPr>
            <w:rStyle w:val="Hyperlink"/>
            <w:rFonts w:cs="Arial"/>
            <w:noProof/>
            <w:sz w:val="20"/>
            <w:szCs w:val="20"/>
          </w:rPr>
          <w:t>Strategy</w:t>
        </w:r>
        <w:r w:rsidR="004002DA" w:rsidRPr="007A244E">
          <w:rPr>
            <w:rStyle w:val="Hyperlink"/>
            <w:rFonts w:asciiTheme="minorBidi" w:hAnsiTheme="minorBidi"/>
            <w:noProof/>
            <w:webHidden/>
          </w:rPr>
          <w:tab/>
        </w:r>
        <w:r w:rsidR="004002DA" w:rsidRPr="007A244E">
          <w:rPr>
            <w:rStyle w:val="Hyperlink"/>
            <w:rFonts w:asciiTheme="minorBidi" w:hAnsiTheme="minorBidi"/>
            <w:noProof/>
            <w:webHidden/>
          </w:rPr>
          <w:fldChar w:fldCharType="begin"/>
        </w:r>
        <w:r w:rsidR="004002DA" w:rsidRPr="007A244E">
          <w:rPr>
            <w:rStyle w:val="Hyperlink"/>
            <w:rFonts w:asciiTheme="minorBidi" w:hAnsiTheme="minorBidi"/>
            <w:noProof/>
            <w:webHidden/>
          </w:rPr>
          <w:instrText xml:space="preserve"> PAGEREF _Toc48809747 \h </w:instrText>
        </w:r>
        <w:r w:rsidR="004002DA" w:rsidRPr="007A244E">
          <w:rPr>
            <w:rStyle w:val="Hyperlink"/>
            <w:rFonts w:asciiTheme="minorBidi" w:hAnsiTheme="minorBidi"/>
            <w:noProof/>
            <w:webHidden/>
          </w:rPr>
        </w:r>
        <w:r w:rsidR="004002DA" w:rsidRPr="007A244E">
          <w:rPr>
            <w:rStyle w:val="Hyperlink"/>
            <w:rFonts w:asciiTheme="minorBidi" w:hAnsiTheme="minorBidi"/>
            <w:noProof/>
            <w:webHidden/>
          </w:rPr>
          <w:fldChar w:fldCharType="separate"/>
        </w:r>
        <w:r w:rsidR="00F12C3C">
          <w:rPr>
            <w:rStyle w:val="Hyperlink"/>
            <w:rFonts w:asciiTheme="minorBidi" w:hAnsiTheme="minorBidi"/>
            <w:noProof/>
            <w:webHidden/>
          </w:rPr>
          <w:t>8</w:t>
        </w:r>
        <w:r w:rsidR="004002DA" w:rsidRPr="007A244E">
          <w:rPr>
            <w:rStyle w:val="Hyperlink"/>
            <w:rFonts w:asciiTheme="minorBidi" w:hAnsiTheme="minorBidi"/>
            <w:noProof/>
            <w:webHidden/>
          </w:rPr>
          <w:fldChar w:fldCharType="end"/>
        </w:r>
      </w:hyperlink>
    </w:p>
    <w:p w14:paraId="0BE1FF6E" w14:textId="77777777" w:rsidR="004002DA" w:rsidRPr="007A244E" w:rsidRDefault="000A4130" w:rsidP="007A244E">
      <w:pPr>
        <w:pStyle w:val="TOC1"/>
        <w:tabs>
          <w:tab w:val="left" w:pos="567"/>
          <w:tab w:val="right" w:leader="dot" w:pos="9592"/>
        </w:tabs>
        <w:rPr>
          <w:rStyle w:val="Hyperlink"/>
          <w:rFonts w:asciiTheme="minorBidi" w:hAnsiTheme="minorBidi"/>
          <w:noProof/>
        </w:rPr>
      </w:pPr>
      <w:hyperlink w:anchor="_Toc48809748" w:history="1">
        <w:r w:rsidR="004002DA" w:rsidRPr="007A244E">
          <w:rPr>
            <w:rStyle w:val="Hyperlink"/>
            <w:rFonts w:asciiTheme="minorBidi" w:hAnsiTheme="minorBidi"/>
            <w:noProof/>
          </w:rPr>
          <w:t>IV.</w:t>
        </w:r>
        <w:r w:rsidR="004002DA" w:rsidRPr="007A244E">
          <w:rPr>
            <w:rStyle w:val="Hyperlink"/>
            <w:rFonts w:asciiTheme="minorBidi" w:hAnsiTheme="minorBidi"/>
            <w:noProof/>
          </w:rPr>
          <w:tab/>
        </w:r>
        <w:r w:rsidR="004002DA" w:rsidRPr="007F6BAD">
          <w:rPr>
            <w:rStyle w:val="Hyperlink"/>
            <w:rFonts w:asciiTheme="minorBidi" w:hAnsiTheme="minorBidi"/>
            <w:noProof/>
          </w:rPr>
          <w:t>Results and Partnerships</w:t>
        </w:r>
        <w:r w:rsidR="004002DA" w:rsidRPr="007A244E">
          <w:rPr>
            <w:rStyle w:val="Hyperlink"/>
            <w:rFonts w:asciiTheme="minorBidi" w:hAnsiTheme="minorBidi"/>
            <w:noProof/>
            <w:webHidden/>
          </w:rPr>
          <w:tab/>
        </w:r>
        <w:r w:rsidR="004002DA" w:rsidRPr="007A244E">
          <w:rPr>
            <w:rStyle w:val="Hyperlink"/>
            <w:rFonts w:asciiTheme="minorBidi" w:hAnsiTheme="minorBidi"/>
            <w:noProof/>
            <w:webHidden/>
          </w:rPr>
          <w:fldChar w:fldCharType="begin"/>
        </w:r>
        <w:r w:rsidR="004002DA" w:rsidRPr="007A244E">
          <w:rPr>
            <w:rStyle w:val="Hyperlink"/>
            <w:rFonts w:asciiTheme="minorBidi" w:hAnsiTheme="minorBidi"/>
            <w:noProof/>
            <w:webHidden/>
          </w:rPr>
          <w:instrText xml:space="preserve"> PAGEREF _Toc48809748 \h </w:instrText>
        </w:r>
        <w:r w:rsidR="004002DA" w:rsidRPr="007A244E">
          <w:rPr>
            <w:rStyle w:val="Hyperlink"/>
            <w:rFonts w:asciiTheme="minorBidi" w:hAnsiTheme="minorBidi"/>
            <w:noProof/>
            <w:webHidden/>
          </w:rPr>
        </w:r>
        <w:r w:rsidR="004002DA" w:rsidRPr="007A244E">
          <w:rPr>
            <w:rStyle w:val="Hyperlink"/>
            <w:rFonts w:asciiTheme="minorBidi" w:hAnsiTheme="minorBidi"/>
            <w:noProof/>
            <w:webHidden/>
          </w:rPr>
          <w:fldChar w:fldCharType="separate"/>
        </w:r>
        <w:r w:rsidR="00F12C3C">
          <w:rPr>
            <w:rStyle w:val="Hyperlink"/>
            <w:rFonts w:asciiTheme="minorBidi" w:hAnsiTheme="minorBidi"/>
            <w:noProof/>
            <w:webHidden/>
          </w:rPr>
          <w:t>13</w:t>
        </w:r>
        <w:r w:rsidR="004002DA" w:rsidRPr="007A244E">
          <w:rPr>
            <w:rStyle w:val="Hyperlink"/>
            <w:rFonts w:asciiTheme="minorBidi" w:hAnsiTheme="minorBidi"/>
            <w:noProof/>
            <w:webHidden/>
          </w:rPr>
          <w:fldChar w:fldCharType="end"/>
        </w:r>
      </w:hyperlink>
    </w:p>
    <w:p w14:paraId="7810C70B" w14:textId="77777777" w:rsidR="004002DA" w:rsidRPr="007A244E" w:rsidRDefault="000A4130" w:rsidP="007A244E">
      <w:pPr>
        <w:pStyle w:val="TOC1"/>
        <w:tabs>
          <w:tab w:val="left" w:pos="567"/>
          <w:tab w:val="right" w:leader="dot" w:pos="9592"/>
        </w:tabs>
        <w:rPr>
          <w:rStyle w:val="Hyperlink"/>
          <w:rFonts w:asciiTheme="minorBidi" w:hAnsiTheme="minorBidi"/>
          <w:noProof/>
        </w:rPr>
      </w:pPr>
      <w:hyperlink w:anchor="_Toc48809749" w:history="1">
        <w:r w:rsidR="004002DA" w:rsidRPr="007A244E">
          <w:rPr>
            <w:rStyle w:val="Hyperlink"/>
            <w:rFonts w:asciiTheme="minorBidi" w:hAnsiTheme="minorBidi"/>
            <w:noProof/>
          </w:rPr>
          <w:t>V.</w:t>
        </w:r>
        <w:r w:rsidR="004002DA" w:rsidRPr="007A244E">
          <w:rPr>
            <w:rStyle w:val="Hyperlink"/>
            <w:rFonts w:asciiTheme="minorBidi" w:hAnsiTheme="minorBidi"/>
            <w:noProof/>
          </w:rPr>
          <w:tab/>
          <w:t>Project Management</w:t>
        </w:r>
        <w:r w:rsidR="004002DA" w:rsidRPr="007A244E">
          <w:rPr>
            <w:rStyle w:val="Hyperlink"/>
            <w:rFonts w:asciiTheme="minorBidi" w:hAnsiTheme="minorBidi"/>
            <w:noProof/>
            <w:webHidden/>
          </w:rPr>
          <w:tab/>
        </w:r>
        <w:r w:rsidR="004002DA" w:rsidRPr="007A244E">
          <w:rPr>
            <w:rStyle w:val="Hyperlink"/>
            <w:rFonts w:asciiTheme="minorBidi" w:hAnsiTheme="minorBidi"/>
            <w:noProof/>
            <w:webHidden/>
          </w:rPr>
          <w:fldChar w:fldCharType="begin"/>
        </w:r>
        <w:r w:rsidR="004002DA" w:rsidRPr="007A244E">
          <w:rPr>
            <w:rStyle w:val="Hyperlink"/>
            <w:rFonts w:asciiTheme="minorBidi" w:hAnsiTheme="minorBidi"/>
            <w:noProof/>
            <w:webHidden/>
          </w:rPr>
          <w:instrText xml:space="preserve"> PAGEREF _Toc48809749 \h </w:instrText>
        </w:r>
        <w:r w:rsidR="004002DA" w:rsidRPr="007A244E">
          <w:rPr>
            <w:rStyle w:val="Hyperlink"/>
            <w:rFonts w:asciiTheme="minorBidi" w:hAnsiTheme="minorBidi"/>
            <w:noProof/>
            <w:webHidden/>
          </w:rPr>
        </w:r>
        <w:r w:rsidR="004002DA" w:rsidRPr="007A244E">
          <w:rPr>
            <w:rStyle w:val="Hyperlink"/>
            <w:rFonts w:asciiTheme="minorBidi" w:hAnsiTheme="minorBidi"/>
            <w:noProof/>
            <w:webHidden/>
          </w:rPr>
          <w:fldChar w:fldCharType="separate"/>
        </w:r>
        <w:r w:rsidR="00F12C3C">
          <w:rPr>
            <w:rStyle w:val="Hyperlink"/>
            <w:rFonts w:asciiTheme="minorBidi" w:hAnsiTheme="minorBidi"/>
            <w:noProof/>
            <w:webHidden/>
          </w:rPr>
          <w:t>29</w:t>
        </w:r>
        <w:r w:rsidR="004002DA" w:rsidRPr="007A244E">
          <w:rPr>
            <w:rStyle w:val="Hyperlink"/>
            <w:rFonts w:asciiTheme="minorBidi" w:hAnsiTheme="minorBidi"/>
            <w:noProof/>
            <w:webHidden/>
          </w:rPr>
          <w:fldChar w:fldCharType="end"/>
        </w:r>
      </w:hyperlink>
    </w:p>
    <w:p w14:paraId="36B0F805" w14:textId="77777777" w:rsidR="004002DA" w:rsidRPr="007A244E" w:rsidRDefault="000A4130" w:rsidP="007A244E">
      <w:pPr>
        <w:pStyle w:val="TOC1"/>
        <w:tabs>
          <w:tab w:val="left" w:pos="567"/>
          <w:tab w:val="right" w:leader="dot" w:pos="9592"/>
        </w:tabs>
        <w:rPr>
          <w:rStyle w:val="Hyperlink"/>
          <w:rFonts w:asciiTheme="minorBidi" w:hAnsiTheme="minorBidi"/>
          <w:noProof/>
        </w:rPr>
      </w:pPr>
      <w:hyperlink w:anchor="_Toc48809750" w:history="1">
        <w:r w:rsidR="004002DA" w:rsidRPr="007F6BAD">
          <w:rPr>
            <w:rStyle w:val="Hyperlink"/>
            <w:rFonts w:asciiTheme="minorBidi" w:hAnsiTheme="minorBidi"/>
            <w:noProof/>
          </w:rPr>
          <w:t>VI.</w:t>
        </w:r>
        <w:r w:rsidR="004002DA" w:rsidRPr="007A244E">
          <w:rPr>
            <w:rStyle w:val="Hyperlink"/>
            <w:rFonts w:asciiTheme="minorBidi" w:hAnsiTheme="minorBidi"/>
            <w:noProof/>
          </w:rPr>
          <w:tab/>
        </w:r>
        <w:r w:rsidR="004002DA" w:rsidRPr="007F6BAD">
          <w:rPr>
            <w:rStyle w:val="Hyperlink"/>
            <w:rFonts w:asciiTheme="minorBidi" w:hAnsiTheme="minorBidi"/>
            <w:noProof/>
          </w:rPr>
          <w:t>Visibility</w:t>
        </w:r>
        <w:r w:rsidR="004002DA" w:rsidRPr="007A244E">
          <w:rPr>
            <w:rStyle w:val="Hyperlink"/>
            <w:rFonts w:asciiTheme="minorBidi" w:hAnsiTheme="minorBidi"/>
            <w:noProof/>
            <w:webHidden/>
          </w:rPr>
          <w:tab/>
        </w:r>
        <w:r w:rsidR="004002DA" w:rsidRPr="007A244E">
          <w:rPr>
            <w:rStyle w:val="Hyperlink"/>
            <w:rFonts w:asciiTheme="minorBidi" w:hAnsiTheme="minorBidi"/>
            <w:noProof/>
            <w:webHidden/>
          </w:rPr>
          <w:fldChar w:fldCharType="begin"/>
        </w:r>
        <w:r w:rsidR="004002DA" w:rsidRPr="007A244E">
          <w:rPr>
            <w:rStyle w:val="Hyperlink"/>
            <w:rFonts w:asciiTheme="minorBidi" w:hAnsiTheme="minorBidi"/>
            <w:noProof/>
            <w:webHidden/>
          </w:rPr>
          <w:instrText xml:space="preserve"> PAGEREF _Toc48809750 \h </w:instrText>
        </w:r>
        <w:r w:rsidR="004002DA" w:rsidRPr="007A244E">
          <w:rPr>
            <w:rStyle w:val="Hyperlink"/>
            <w:rFonts w:asciiTheme="minorBidi" w:hAnsiTheme="minorBidi"/>
            <w:noProof/>
            <w:webHidden/>
          </w:rPr>
        </w:r>
        <w:r w:rsidR="004002DA" w:rsidRPr="007A244E">
          <w:rPr>
            <w:rStyle w:val="Hyperlink"/>
            <w:rFonts w:asciiTheme="minorBidi" w:hAnsiTheme="minorBidi"/>
            <w:noProof/>
            <w:webHidden/>
          </w:rPr>
          <w:fldChar w:fldCharType="separate"/>
        </w:r>
        <w:r w:rsidR="00F12C3C">
          <w:rPr>
            <w:rStyle w:val="Hyperlink"/>
            <w:rFonts w:asciiTheme="minorBidi" w:hAnsiTheme="minorBidi"/>
            <w:noProof/>
            <w:webHidden/>
          </w:rPr>
          <w:t>32</w:t>
        </w:r>
        <w:r w:rsidR="004002DA" w:rsidRPr="007A244E">
          <w:rPr>
            <w:rStyle w:val="Hyperlink"/>
            <w:rFonts w:asciiTheme="minorBidi" w:hAnsiTheme="minorBidi"/>
            <w:noProof/>
            <w:webHidden/>
          </w:rPr>
          <w:fldChar w:fldCharType="end"/>
        </w:r>
      </w:hyperlink>
    </w:p>
    <w:p w14:paraId="3E279795" w14:textId="77777777" w:rsidR="004002DA" w:rsidRPr="007A244E" w:rsidRDefault="000A4130" w:rsidP="007A244E">
      <w:pPr>
        <w:pStyle w:val="TOC1"/>
        <w:tabs>
          <w:tab w:val="left" w:pos="567"/>
          <w:tab w:val="right" w:leader="dot" w:pos="9592"/>
        </w:tabs>
        <w:rPr>
          <w:rStyle w:val="Hyperlink"/>
          <w:rFonts w:asciiTheme="minorBidi" w:hAnsiTheme="minorBidi"/>
          <w:noProof/>
        </w:rPr>
      </w:pPr>
      <w:hyperlink w:anchor="_Toc48809751" w:history="1">
        <w:r w:rsidR="004002DA" w:rsidRPr="007F6BAD">
          <w:rPr>
            <w:rStyle w:val="Hyperlink"/>
            <w:rFonts w:asciiTheme="minorBidi" w:hAnsiTheme="minorBidi"/>
            <w:noProof/>
          </w:rPr>
          <w:t>VII.</w:t>
        </w:r>
        <w:r w:rsidR="004002DA" w:rsidRPr="007A244E">
          <w:rPr>
            <w:rStyle w:val="Hyperlink"/>
            <w:rFonts w:asciiTheme="minorBidi" w:hAnsiTheme="minorBidi"/>
            <w:noProof/>
          </w:rPr>
          <w:tab/>
        </w:r>
        <w:r w:rsidR="004002DA" w:rsidRPr="007F6BAD">
          <w:rPr>
            <w:rStyle w:val="Hyperlink"/>
            <w:rFonts w:asciiTheme="minorBidi" w:hAnsiTheme="minorBidi"/>
            <w:noProof/>
          </w:rPr>
          <w:t>Monitoring And Evaluation</w:t>
        </w:r>
        <w:r w:rsidR="004002DA" w:rsidRPr="007A244E">
          <w:rPr>
            <w:rStyle w:val="Hyperlink"/>
            <w:rFonts w:asciiTheme="minorBidi" w:hAnsiTheme="minorBidi"/>
            <w:noProof/>
            <w:webHidden/>
          </w:rPr>
          <w:tab/>
        </w:r>
        <w:r w:rsidR="004002DA" w:rsidRPr="007A244E">
          <w:rPr>
            <w:rStyle w:val="Hyperlink"/>
            <w:rFonts w:asciiTheme="minorBidi" w:hAnsiTheme="minorBidi"/>
            <w:noProof/>
            <w:webHidden/>
          </w:rPr>
          <w:fldChar w:fldCharType="begin"/>
        </w:r>
        <w:r w:rsidR="004002DA" w:rsidRPr="007A244E">
          <w:rPr>
            <w:rStyle w:val="Hyperlink"/>
            <w:rFonts w:asciiTheme="minorBidi" w:hAnsiTheme="minorBidi"/>
            <w:noProof/>
            <w:webHidden/>
          </w:rPr>
          <w:instrText xml:space="preserve"> PAGEREF _Toc48809751 \h </w:instrText>
        </w:r>
        <w:r w:rsidR="004002DA" w:rsidRPr="007A244E">
          <w:rPr>
            <w:rStyle w:val="Hyperlink"/>
            <w:rFonts w:asciiTheme="minorBidi" w:hAnsiTheme="minorBidi"/>
            <w:noProof/>
            <w:webHidden/>
          </w:rPr>
        </w:r>
        <w:r w:rsidR="004002DA" w:rsidRPr="007A244E">
          <w:rPr>
            <w:rStyle w:val="Hyperlink"/>
            <w:rFonts w:asciiTheme="minorBidi" w:hAnsiTheme="minorBidi"/>
            <w:noProof/>
            <w:webHidden/>
          </w:rPr>
          <w:fldChar w:fldCharType="separate"/>
        </w:r>
        <w:r w:rsidR="00F12C3C">
          <w:rPr>
            <w:rStyle w:val="Hyperlink"/>
            <w:rFonts w:asciiTheme="minorBidi" w:hAnsiTheme="minorBidi"/>
            <w:noProof/>
            <w:webHidden/>
          </w:rPr>
          <w:t>33</w:t>
        </w:r>
        <w:r w:rsidR="004002DA" w:rsidRPr="007A244E">
          <w:rPr>
            <w:rStyle w:val="Hyperlink"/>
            <w:rFonts w:asciiTheme="minorBidi" w:hAnsiTheme="minorBidi"/>
            <w:noProof/>
            <w:webHidden/>
          </w:rPr>
          <w:fldChar w:fldCharType="end"/>
        </w:r>
      </w:hyperlink>
    </w:p>
    <w:p w14:paraId="0FEEF8B6" w14:textId="77777777" w:rsidR="004002DA" w:rsidRPr="007A244E" w:rsidRDefault="000A4130" w:rsidP="007A244E">
      <w:pPr>
        <w:pStyle w:val="TOC1"/>
        <w:tabs>
          <w:tab w:val="left" w:pos="567"/>
          <w:tab w:val="right" w:leader="dot" w:pos="9592"/>
        </w:tabs>
        <w:rPr>
          <w:rStyle w:val="Hyperlink"/>
          <w:rFonts w:asciiTheme="minorBidi" w:hAnsiTheme="minorBidi"/>
          <w:noProof/>
        </w:rPr>
      </w:pPr>
      <w:hyperlink w:anchor="_Toc48809752" w:history="1">
        <w:r w:rsidR="004002DA" w:rsidRPr="007F6BAD">
          <w:rPr>
            <w:rStyle w:val="Hyperlink"/>
            <w:rFonts w:asciiTheme="minorBidi" w:hAnsiTheme="minorBidi"/>
            <w:noProof/>
          </w:rPr>
          <w:t>VIII.</w:t>
        </w:r>
        <w:r w:rsidR="004002DA" w:rsidRPr="007A244E">
          <w:rPr>
            <w:rStyle w:val="Hyperlink"/>
            <w:rFonts w:asciiTheme="minorBidi" w:hAnsiTheme="minorBidi"/>
            <w:noProof/>
          </w:rPr>
          <w:tab/>
        </w:r>
        <w:r w:rsidR="004002DA" w:rsidRPr="007F6BAD">
          <w:rPr>
            <w:rStyle w:val="Hyperlink"/>
            <w:rFonts w:asciiTheme="minorBidi" w:hAnsiTheme="minorBidi"/>
            <w:noProof/>
          </w:rPr>
          <w:t>Governance and Management Arrangements</w:t>
        </w:r>
        <w:r w:rsidR="004002DA" w:rsidRPr="007A244E">
          <w:rPr>
            <w:rStyle w:val="Hyperlink"/>
            <w:rFonts w:asciiTheme="minorBidi" w:hAnsiTheme="minorBidi"/>
            <w:noProof/>
            <w:webHidden/>
          </w:rPr>
          <w:tab/>
        </w:r>
        <w:r w:rsidR="004002DA" w:rsidRPr="007A244E">
          <w:rPr>
            <w:rStyle w:val="Hyperlink"/>
            <w:rFonts w:asciiTheme="minorBidi" w:hAnsiTheme="minorBidi"/>
            <w:noProof/>
            <w:webHidden/>
          </w:rPr>
          <w:fldChar w:fldCharType="begin"/>
        </w:r>
        <w:r w:rsidR="004002DA" w:rsidRPr="007A244E">
          <w:rPr>
            <w:rStyle w:val="Hyperlink"/>
            <w:rFonts w:asciiTheme="minorBidi" w:hAnsiTheme="minorBidi"/>
            <w:noProof/>
            <w:webHidden/>
          </w:rPr>
          <w:instrText xml:space="preserve"> PAGEREF _Toc48809752 \h </w:instrText>
        </w:r>
        <w:r w:rsidR="004002DA" w:rsidRPr="007A244E">
          <w:rPr>
            <w:rStyle w:val="Hyperlink"/>
            <w:rFonts w:asciiTheme="minorBidi" w:hAnsiTheme="minorBidi"/>
            <w:noProof/>
            <w:webHidden/>
          </w:rPr>
        </w:r>
        <w:r w:rsidR="004002DA" w:rsidRPr="007A244E">
          <w:rPr>
            <w:rStyle w:val="Hyperlink"/>
            <w:rFonts w:asciiTheme="minorBidi" w:hAnsiTheme="minorBidi"/>
            <w:noProof/>
            <w:webHidden/>
          </w:rPr>
          <w:fldChar w:fldCharType="separate"/>
        </w:r>
        <w:r w:rsidR="00F12C3C">
          <w:rPr>
            <w:rStyle w:val="Hyperlink"/>
            <w:rFonts w:asciiTheme="minorBidi" w:hAnsiTheme="minorBidi"/>
            <w:noProof/>
            <w:webHidden/>
          </w:rPr>
          <w:t>35</w:t>
        </w:r>
        <w:r w:rsidR="004002DA" w:rsidRPr="007A244E">
          <w:rPr>
            <w:rStyle w:val="Hyperlink"/>
            <w:rFonts w:asciiTheme="minorBidi" w:hAnsiTheme="minorBidi"/>
            <w:noProof/>
            <w:webHidden/>
          </w:rPr>
          <w:fldChar w:fldCharType="end"/>
        </w:r>
      </w:hyperlink>
    </w:p>
    <w:p w14:paraId="5DC81FD4" w14:textId="77777777" w:rsidR="004002DA" w:rsidRPr="007A244E" w:rsidRDefault="000A4130" w:rsidP="007A244E">
      <w:pPr>
        <w:pStyle w:val="TOC1"/>
        <w:tabs>
          <w:tab w:val="left" w:pos="567"/>
          <w:tab w:val="right" w:leader="dot" w:pos="9592"/>
        </w:tabs>
        <w:rPr>
          <w:rStyle w:val="Hyperlink"/>
          <w:rFonts w:asciiTheme="minorBidi" w:hAnsiTheme="minorBidi"/>
          <w:noProof/>
        </w:rPr>
      </w:pPr>
      <w:hyperlink w:anchor="_Toc48809753" w:history="1">
        <w:r w:rsidR="004002DA" w:rsidRPr="007F6BAD">
          <w:rPr>
            <w:rStyle w:val="Hyperlink"/>
            <w:rFonts w:asciiTheme="minorBidi" w:hAnsiTheme="minorBidi"/>
            <w:noProof/>
          </w:rPr>
          <w:t>IX.</w:t>
        </w:r>
        <w:r w:rsidR="004002DA" w:rsidRPr="007A244E">
          <w:rPr>
            <w:rStyle w:val="Hyperlink"/>
            <w:rFonts w:asciiTheme="minorBidi" w:hAnsiTheme="minorBidi"/>
            <w:noProof/>
          </w:rPr>
          <w:tab/>
        </w:r>
        <w:r w:rsidR="004002DA" w:rsidRPr="007F6BAD">
          <w:rPr>
            <w:rStyle w:val="Hyperlink"/>
            <w:rFonts w:asciiTheme="minorBidi" w:hAnsiTheme="minorBidi"/>
            <w:noProof/>
          </w:rPr>
          <w:t>Additional Needs for COVID-19 Emergency Response (Chapter added 19 August 2020)</w:t>
        </w:r>
        <w:r w:rsidR="004002DA" w:rsidRPr="007A244E">
          <w:rPr>
            <w:rStyle w:val="Hyperlink"/>
            <w:rFonts w:asciiTheme="minorBidi" w:hAnsiTheme="minorBidi"/>
            <w:noProof/>
            <w:webHidden/>
          </w:rPr>
          <w:tab/>
        </w:r>
        <w:r w:rsidR="004002DA" w:rsidRPr="007A244E">
          <w:rPr>
            <w:rStyle w:val="Hyperlink"/>
            <w:rFonts w:asciiTheme="minorBidi" w:hAnsiTheme="minorBidi"/>
            <w:noProof/>
            <w:webHidden/>
          </w:rPr>
          <w:fldChar w:fldCharType="begin"/>
        </w:r>
        <w:r w:rsidR="004002DA" w:rsidRPr="007A244E">
          <w:rPr>
            <w:rStyle w:val="Hyperlink"/>
            <w:rFonts w:asciiTheme="minorBidi" w:hAnsiTheme="minorBidi"/>
            <w:noProof/>
            <w:webHidden/>
          </w:rPr>
          <w:instrText xml:space="preserve"> PAGEREF _Toc48809753 \h </w:instrText>
        </w:r>
        <w:r w:rsidR="004002DA" w:rsidRPr="007A244E">
          <w:rPr>
            <w:rStyle w:val="Hyperlink"/>
            <w:rFonts w:asciiTheme="minorBidi" w:hAnsiTheme="minorBidi"/>
            <w:noProof/>
            <w:webHidden/>
          </w:rPr>
        </w:r>
        <w:r w:rsidR="004002DA" w:rsidRPr="007A244E">
          <w:rPr>
            <w:rStyle w:val="Hyperlink"/>
            <w:rFonts w:asciiTheme="minorBidi" w:hAnsiTheme="minorBidi"/>
            <w:noProof/>
            <w:webHidden/>
          </w:rPr>
          <w:fldChar w:fldCharType="separate"/>
        </w:r>
        <w:r w:rsidR="00F12C3C">
          <w:rPr>
            <w:rStyle w:val="Hyperlink"/>
            <w:rFonts w:asciiTheme="minorBidi" w:hAnsiTheme="minorBidi"/>
            <w:noProof/>
            <w:webHidden/>
          </w:rPr>
          <w:t>37</w:t>
        </w:r>
        <w:r w:rsidR="004002DA" w:rsidRPr="007A244E">
          <w:rPr>
            <w:rStyle w:val="Hyperlink"/>
            <w:rFonts w:asciiTheme="minorBidi" w:hAnsiTheme="minorBidi"/>
            <w:noProof/>
            <w:webHidden/>
          </w:rPr>
          <w:fldChar w:fldCharType="end"/>
        </w:r>
      </w:hyperlink>
    </w:p>
    <w:p w14:paraId="6179ED51" w14:textId="77777777" w:rsidR="004002DA" w:rsidRPr="007A244E" w:rsidRDefault="004002DA" w:rsidP="007A244E">
      <w:pPr>
        <w:pStyle w:val="TOC1"/>
        <w:tabs>
          <w:tab w:val="left" w:pos="567"/>
          <w:tab w:val="right" w:leader="dot" w:pos="9592"/>
        </w:tabs>
        <w:rPr>
          <w:rStyle w:val="Hyperlink"/>
          <w:noProof/>
        </w:rPr>
      </w:pPr>
      <w:r w:rsidRPr="007A244E">
        <w:rPr>
          <w:rStyle w:val="Hyperlink"/>
          <w:noProof/>
        </w:rPr>
        <w:fldChar w:fldCharType="end"/>
      </w:r>
    </w:p>
    <w:p w14:paraId="1D922C72" w14:textId="77777777" w:rsidR="004002DA" w:rsidRDefault="004002DA" w:rsidP="007A244E">
      <w:pPr>
        <w:pStyle w:val="TOC1"/>
        <w:tabs>
          <w:tab w:val="left" w:pos="567"/>
          <w:tab w:val="right" w:leader="dot" w:pos="9592"/>
        </w:tabs>
        <w:rPr>
          <w:rFonts w:asciiTheme="minorBidi" w:hAnsiTheme="minorBidi" w:cstheme="minorBidi"/>
          <w:b/>
          <w:color w:val="002060"/>
          <w:sz w:val="20"/>
        </w:rPr>
      </w:pPr>
      <w:bookmarkStart w:id="0" w:name="_Toc3479554"/>
      <w:r>
        <w:rPr>
          <w:rFonts w:asciiTheme="minorBidi" w:hAnsiTheme="minorBidi" w:cstheme="minorBidi"/>
          <w:sz w:val="20"/>
        </w:rPr>
        <w:br w:type="page"/>
      </w:r>
    </w:p>
    <w:p w14:paraId="0BBFDA19" w14:textId="77777777" w:rsidR="004002DA" w:rsidRPr="0041504B" w:rsidRDefault="004002DA" w:rsidP="004002DA">
      <w:pPr>
        <w:pStyle w:val="TOCHeading"/>
        <w:rPr>
          <w:rFonts w:asciiTheme="minorBidi" w:hAnsiTheme="minorBidi" w:cstheme="minorBidi"/>
          <w:sz w:val="20"/>
          <w:szCs w:val="20"/>
          <w:lang w:val="de-DE"/>
        </w:rPr>
      </w:pPr>
      <w:r w:rsidRPr="0041504B">
        <w:rPr>
          <w:rFonts w:asciiTheme="minorBidi" w:hAnsiTheme="minorBidi" w:cstheme="minorBidi"/>
          <w:sz w:val="20"/>
          <w:szCs w:val="20"/>
          <w:lang w:val="de-DE"/>
        </w:rPr>
        <w:lastRenderedPageBreak/>
        <w:t xml:space="preserve">Acronyms </w:t>
      </w:r>
      <w:bookmarkEnd w:id="0"/>
    </w:p>
    <w:tbl>
      <w:tblPr>
        <w:tblStyle w:val="TableGrid"/>
        <w:tblW w:w="9602" w:type="dxa"/>
        <w:tblLayout w:type="fixed"/>
        <w:tblLook w:val="04A0" w:firstRow="1" w:lastRow="0" w:firstColumn="1" w:lastColumn="0" w:noHBand="0" w:noVBand="1"/>
      </w:tblPr>
      <w:tblGrid>
        <w:gridCol w:w="1155"/>
        <w:gridCol w:w="8447"/>
      </w:tblGrid>
      <w:tr w:rsidR="004002DA" w:rsidRPr="0041504B" w14:paraId="0006DD71" w14:textId="77777777" w:rsidTr="004002DA">
        <w:tc>
          <w:tcPr>
            <w:tcW w:w="1155" w:type="dxa"/>
          </w:tcPr>
          <w:p w14:paraId="5A1EABE6" w14:textId="77777777" w:rsidR="004002DA" w:rsidRPr="0066181A" w:rsidRDefault="004002DA" w:rsidP="006F767C">
            <w:pPr>
              <w:spacing w:before="60" w:after="60" w:line="240" w:lineRule="auto"/>
              <w:rPr>
                <w:rFonts w:eastAsia="Arial" w:cs="Arial"/>
                <w:sz w:val="20"/>
              </w:rPr>
            </w:pPr>
            <w:r w:rsidRPr="0066181A">
              <w:rPr>
                <w:rFonts w:eastAsia="Arial" w:cs="Arial"/>
                <w:sz w:val="20"/>
              </w:rPr>
              <w:t>ACP</w:t>
            </w:r>
          </w:p>
        </w:tc>
        <w:tc>
          <w:tcPr>
            <w:tcW w:w="8447" w:type="dxa"/>
          </w:tcPr>
          <w:p w14:paraId="65B586F2" w14:textId="77777777" w:rsidR="004002DA" w:rsidRPr="0066181A" w:rsidRDefault="004002DA" w:rsidP="006F767C">
            <w:pPr>
              <w:spacing w:before="60" w:after="60" w:line="240" w:lineRule="auto"/>
              <w:rPr>
                <w:rFonts w:eastAsia="Arial" w:cs="Arial"/>
                <w:sz w:val="20"/>
              </w:rPr>
            </w:pPr>
            <w:r w:rsidRPr="0066181A">
              <w:rPr>
                <w:rFonts w:eastAsia="Arial" w:cs="Arial"/>
                <w:sz w:val="20"/>
              </w:rPr>
              <w:t>Advisory Committee on Procurement</w:t>
            </w:r>
          </w:p>
        </w:tc>
      </w:tr>
      <w:tr w:rsidR="004002DA" w:rsidRPr="0041504B" w14:paraId="2BEAFBDC" w14:textId="77777777" w:rsidTr="004002DA">
        <w:tc>
          <w:tcPr>
            <w:tcW w:w="1155" w:type="dxa"/>
          </w:tcPr>
          <w:p w14:paraId="2269DE44" w14:textId="77777777" w:rsidR="004002DA" w:rsidRPr="0066181A" w:rsidRDefault="004002DA" w:rsidP="006F767C">
            <w:pPr>
              <w:spacing w:before="60" w:after="60" w:line="240" w:lineRule="auto"/>
              <w:rPr>
                <w:rFonts w:eastAsia="Arial" w:cs="Arial"/>
                <w:sz w:val="20"/>
              </w:rPr>
            </w:pPr>
            <w:r w:rsidRPr="0066181A">
              <w:rPr>
                <w:rFonts w:eastAsia="Arial" w:cs="Arial"/>
                <w:sz w:val="20"/>
              </w:rPr>
              <w:t>CFW</w:t>
            </w:r>
          </w:p>
        </w:tc>
        <w:tc>
          <w:tcPr>
            <w:tcW w:w="8447" w:type="dxa"/>
          </w:tcPr>
          <w:p w14:paraId="5280A29B" w14:textId="77777777" w:rsidR="004002DA" w:rsidRPr="0066181A" w:rsidRDefault="004002DA" w:rsidP="006F767C">
            <w:pPr>
              <w:spacing w:before="60" w:after="60" w:line="240" w:lineRule="auto"/>
              <w:rPr>
                <w:rFonts w:eastAsia="Arial" w:cs="Arial"/>
                <w:sz w:val="20"/>
              </w:rPr>
            </w:pPr>
            <w:r w:rsidRPr="0066181A">
              <w:rPr>
                <w:rFonts w:eastAsia="Arial" w:cs="Arial"/>
                <w:sz w:val="20"/>
              </w:rPr>
              <w:t>Cash for Work</w:t>
            </w:r>
          </w:p>
        </w:tc>
      </w:tr>
      <w:tr w:rsidR="004002DA" w:rsidRPr="0041504B" w14:paraId="28B0E773" w14:textId="77777777" w:rsidTr="004002DA">
        <w:tc>
          <w:tcPr>
            <w:tcW w:w="1155" w:type="dxa"/>
          </w:tcPr>
          <w:p w14:paraId="70CD01CF" w14:textId="77777777" w:rsidR="004002DA" w:rsidRPr="0066181A" w:rsidRDefault="004002DA" w:rsidP="006F767C">
            <w:pPr>
              <w:spacing w:before="60" w:after="60" w:line="240" w:lineRule="auto"/>
              <w:rPr>
                <w:rFonts w:eastAsia="Arial" w:cs="Arial"/>
                <w:sz w:val="20"/>
              </w:rPr>
            </w:pPr>
            <w:r w:rsidRPr="0066181A">
              <w:rPr>
                <w:rFonts w:eastAsia="Arial" w:cs="Arial"/>
                <w:sz w:val="20"/>
              </w:rPr>
              <w:t>CRDP</w:t>
            </w:r>
          </w:p>
        </w:tc>
        <w:tc>
          <w:tcPr>
            <w:tcW w:w="8447" w:type="dxa"/>
          </w:tcPr>
          <w:p w14:paraId="03CB48B5" w14:textId="77777777" w:rsidR="004002DA" w:rsidRPr="0066181A" w:rsidRDefault="004002DA" w:rsidP="006F767C">
            <w:pPr>
              <w:spacing w:before="60" w:after="60" w:line="240" w:lineRule="auto"/>
              <w:rPr>
                <w:rFonts w:eastAsia="Arial" w:cs="Arial"/>
                <w:sz w:val="20"/>
              </w:rPr>
            </w:pPr>
            <w:r w:rsidRPr="0066181A">
              <w:rPr>
                <w:rFonts w:eastAsia="Arial" w:cs="Arial"/>
                <w:sz w:val="20"/>
              </w:rPr>
              <w:t>Community Resilience Development Programme</w:t>
            </w:r>
          </w:p>
        </w:tc>
      </w:tr>
      <w:tr w:rsidR="004002DA" w:rsidRPr="006F767C" w14:paraId="54D68639" w14:textId="77777777" w:rsidTr="004002DA">
        <w:tc>
          <w:tcPr>
            <w:tcW w:w="1155" w:type="dxa"/>
          </w:tcPr>
          <w:p w14:paraId="25ABFA40" w14:textId="77777777" w:rsidR="004002DA" w:rsidRPr="0066181A" w:rsidRDefault="004002DA" w:rsidP="006F767C">
            <w:pPr>
              <w:spacing w:before="60" w:after="60" w:line="240" w:lineRule="auto"/>
              <w:rPr>
                <w:rFonts w:eastAsia="Arial" w:cs="Arial"/>
                <w:sz w:val="20"/>
              </w:rPr>
            </w:pPr>
            <w:r w:rsidRPr="0066181A">
              <w:rPr>
                <w:rFonts w:eastAsia="Arial" w:cs="Arial"/>
                <w:sz w:val="20"/>
              </w:rPr>
              <w:t>CRDP</w:t>
            </w:r>
          </w:p>
        </w:tc>
        <w:tc>
          <w:tcPr>
            <w:tcW w:w="8447" w:type="dxa"/>
          </w:tcPr>
          <w:p w14:paraId="51AC2A10" w14:textId="77777777" w:rsidR="004002DA" w:rsidRPr="0066181A" w:rsidRDefault="004002DA" w:rsidP="006F767C">
            <w:pPr>
              <w:spacing w:before="60" w:after="60" w:line="240" w:lineRule="auto"/>
              <w:rPr>
                <w:rFonts w:eastAsia="Arial" w:cs="Arial"/>
                <w:sz w:val="20"/>
                <w:lang w:val="en-US"/>
              </w:rPr>
            </w:pPr>
            <w:r w:rsidRPr="0066181A">
              <w:rPr>
                <w:rFonts w:eastAsia="Arial" w:cs="Arial"/>
                <w:sz w:val="20"/>
                <w:lang w:val="en-US"/>
              </w:rPr>
              <w:t>Community Development and Resilience Programme</w:t>
            </w:r>
          </w:p>
        </w:tc>
      </w:tr>
      <w:tr w:rsidR="004002DA" w:rsidRPr="0041504B" w14:paraId="0D7C583C" w14:textId="77777777" w:rsidTr="004002DA">
        <w:tc>
          <w:tcPr>
            <w:tcW w:w="1155" w:type="dxa"/>
          </w:tcPr>
          <w:p w14:paraId="44E80D73" w14:textId="77777777" w:rsidR="004002DA" w:rsidRPr="0066181A" w:rsidRDefault="004002DA" w:rsidP="006F767C">
            <w:pPr>
              <w:spacing w:before="60" w:after="60" w:line="240" w:lineRule="auto"/>
              <w:rPr>
                <w:rFonts w:eastAsia="Arial" w:cs="Arial"/>
                <w:sz w:val="20"/>
              </w:rPr>
            </w:pPr>
            <w:r w:rsidRPr="0066181A">
              <w:rPr>
                <w:rFonts w:eastAsia="Arial" w:cs="Arial"/>
                <w:sz w:val="20"/>
              </w:rPr>
              <w:t>DIM</w:t>
            </w:r>
          </w:p>
        </w:tc>
        <w:tc>
          <w:tcPr>
            <w:tcW w:w="8447" w:type="dxa"/>
          </w:tcPr>
          <w:p w14:paraId="1558DF54" w14:textId="77777777" w:rsidR="004002DA" w:rsidRPr="0066181A" w:rsidRDefault="004002DA" w:rsidP="006F767C">
            <w:pPr>
              <w:spacing w:before="60" w:after="60" w:line="240" w:lineRule="auto"/>
              <w:rPr>
                <w:rFonts w:eastAsia="Arial" w:cs="Arial"/>
                <w:sz w:val="20"/>
              </w:rPr>
            </w:pPr>
            <w:r w:rsidRPr="0066181A">
              <w:rPr>
                <w:rFonts w:eastAsia="Arial" w:cs="Arial"/>
                <w:sz w:val="20"/>
              </w:rPr>
              <w:t>Direct implementation Modality</w:t>
            </w:r>
          </w:p>
        </w:tc>
      </w:tr>
      <w:tr w:rsidR="004002DA" w:rsidRPr="0041504B" w14:paraId="01D22B0E" w14:textId="77777777" w:rsidTr="004002DA">
        <w:tc>
          <w:tcPr>
            <w:tcW w:w="1155" w:type="dxa"/>
          </w:tcPr>
          <w:p w14:paraId="7651AA8B" w14:textId="77777777" w:rsidR="004002DA" w:rsidRPr="0066181A" w:rsidRDefault="004002DA" w:rsidP="006F767C">
            <w:pPr>
              <w:spacing w:before="60" w:after="60" w:line="240" w:lineRule="auto"/>
              <w:rPr>
                <w:rFonts w:eastAsia="Arial" w:cs="Arial"/>
                <w:sz w:val="20"/>
              </w:rPr>
            </w:pPr>
            <w:r w:rsidRPr="0066181A">
              <w:rPr>
                <w:rFonts w:eastAsia="Arial" w:cs="Arial"/>
                <w:sz w:val="20"/>
              </w:rPr>
              <w:t>DPA</w:t>
            </w:r>
          </w:p>
        </w:tc>
        <w:tc>
          <w:tcPr>
            <w:tcW w:w="8447" w:type="dxa"/>
          </w:tcPr>
          <w:p w14:paraId="360891E7" w14:textId="77777777" w:rsidR="004002DA" w:rsidRPr="0066181A" w:rsidRDefault="004002DA" w:rsidP="006F767C">
            <w:pPr>
              <w:spacing w:before="60" w:after="60" w:line="240" w:lineRule="auto"/>
              <w:rPr>
                <w:rFonts w:eastAsia="Arial" w:cs="Arial"/>
                <w:sz w:val="20"/>
              </w:rPr>
            </w:pPr>
            <w:r w:rsidRPr="0066181A">
              <w:rPr>
                <w:rFonts w:eastAsia="Arial" w:cs="Arial"/>
                <w:sz w:val="20"/>
              </w:rPr>
              <w:t>Delegated Procurement Authority</w:t>
            </w:r>
          </w:p>
        </w:tc>
      </w:tr>
      <w:tr w:rsidR="004002DA" w:rsidRPr="0041504B" w14:paraId="04EFEB6E" w14:textId="77777777" w:rsidTr="004002DA">
        <w:tc>
          <w:tcPr>
            <w:tcW w:w="1155" w:type="dxa"/>
          </w:tcPr>
          <w:p w14:paraId="76CA6D48" w14:textId="77777777" w:rsidR="004002DA" w:rsidRPr="0066181A" w:rsidRDefault="004002DA" w:rsidP="006F767C">
            <w:pPr>
              <w:spacing w:before="60" w:after="60" w:line="240" w:lineRule="auto"/>
              <w:rPr>
                <w:rFonts w:eastAsia="Arial" w:cs="Arial"/>
                <w:sz w:val="20"/>
              </w:rPr>
            </w:pPr>
            <w:r w:rsidRPr="0066181A">
              <w:rPr>
                <w:rFonts w:eastAsia="Arial" w:cs="Arial"/>
                <w:sz w:val="20"/>
              </w:rPr>
              <w:t>EGP</w:t>
            </w:r>
          </w:p>
        </w:tc>
        <w:tc>
          <w:tcPr>
            <w:tcW w:w="8447" w:type="dxa"/>
          </w:tcPr>
          <w:p w14:paraId="4ECF6203" w14:textId="77777777" w:rsidR="004002DA" w:rsidRPr="0066181A" w:rsidRDefault="004002DA" w:rsidP="006F767C">
            <w:pPr>
              <w:spacing w:before="60" w:after="60" w:line="240" w:lineRule="auto"/>
              <w:rPr>
                <w:rFonts w:eastAsia="Arial" w:cs="Arial"/>
                <w:sz w:val="20"/>
              </w:rPr>
            </w:pPr>
            <w:r w:rsidRPr="0066181A">
              <w:rPr>
                <w:rFonts w:eastAsia="Arial" w:cs="Arial"/>
                <w:sz w:val="20"/>
              </w:rPr>
              <w:t>Employment Generation Programme</w:t>
            </w:r>
          </w:p>
        </w:tc>
      </w:tr>
      <w:tr w:rsidR="004002DA" w:rsidRPr="0041504B" w14:paraId="1F537A6B" w14:textId="77777777" w:rsidTr="004002DA">
        <w:tc>
          <w:tcPr>
            <w:tcW w:w="1155" w:type="dxa"/>
          </w:tcPr>
          <w:p w14:paraId="03278261" w14:textId="77777777" w:rsidR="004002DA" w:rsidRPr="0066181A" w:rsidRDefault="004002DA" w:rsidP="006F767C">
            <w:pPr>
              <w:spacing w:before="60" w:after="60" w:line="240" w:lineRule="auto"/>
              <w:rPr>
                <w:rFonts w:eastAsia="Arial" w:cs="Arial"/>
                <w:sz w:val="20"/>
              </w:rPr>
            </w:pPr>
            <w:r w:rsidRPr="0066181A">
              <w:rPr>
                <w:rFonts w:eastAsia="Arial" w:cs="Arial"/>
                <w:sz w:val="20"/>
              </w:rPr>
              <w:t>EQA</w:t>
            </w:r>
          </w:p>
        </w:tc>
        <w:tc>
          <w:tcPr>
            <w:tcW w:w="8447" w:type="dxa"/>
          </w:tcPr>
          <w:p w14:paraId="1DC1652F" w14:textId="77777777" w:rsidR="004002DA" w:rsidRPr="0066181A" w:rsidRDefault="004002DA" w:rsidP="006F767C">
            <w:pPr>
              <w:spacing w:before="60" w:after="60" w:line="240" w:lineRule="auto"/>
              <w:rPr>
                <w:rFonts w:eastAsia="Arial" w:cs="Arial"/>
                <w:sz w:val="20"/>
              </w:rPr>
            </w:pPr>
            <w:r w:rsidRPr="0066181A">
              <w:rPr>
                <w:rFonts w:eastAsia="Arial" w:cs="Arial"/>
                <w:sz w:val="20"/>
              </w:rPr>
              <w:t>Environment Quality Authority</w:t>
            </w:r>
          </w:p>
        </w:tc>
      </w:tr>
      <w:tr w:rsidR="004002DA" w:rsidRPr="006F767C" w14:paraId="4BD5FB30" w14:textId="77777777" w:rsidTr="004002DA">
        <w:tc>
          <w:tcPr>
            <w:tcW w:w="1155" w:type="dxa"/>
          </w:tcPr>
          <w:p w14:paraId="608C2A25" w14:textId="77777777" w:rsidR="004002DA" w:rsidRPr="0066181A" w:rsidRDefault="004002DA" w:rsidP="006F767C">
            <w:pPr>
              <w:spacing w:before="60" w:after="60" w:line="240" w:lineRule="auto"/>
              <w:rPr>
                <w:rFonts w:eastAsia="Arial" w:cs="Arial"/>
                <w:sz w:val="20"/>
              </w:rPr>
            </w:pPr>
            <w:r w:rsidRPr="0066181A">
              <w:rPr>
                <w:rFonts w:eastAsia="Arial" w:cs="Arial"/>
                <w:sz w:val="20"/>
              </w:rPr>
              <w:t>ESMP</w:t>
            </w:r>
          </w:p>
        </w:tc>
        <w:tc>
          <w:tcPr>
            <w:tcW w:w="8447" w:type="dxa"/>
          </w:tcPr>
          <w:p w14:paraId="7C39AE05" w14:textId="77777777" w:rsidR="004002DA" w:rsidRPr="0066181A" w:rsidRDefault="004002DA" w:rsidP="006F767C">
            <w:pPr>
              <w:spacing w:before="60" w:after="60" w:line="240" w:lineRule="auto"/>
              <w:rPr>
                <w:rFonts w:eastAsia="Arial" w:cs="Arial"/>
                <w:sz w:val="20"/>
                <w:lang w:val="en-US"/>
              </w:rPr>
            </w:pPr>
            <w:r w:rsidRPr="0066181A">
              <w:rPr>
                <w:rFonts w:eastAsia="Arial" w:cs="Arial"/>
                <w:sz w:val="20"/>
                <w:lang w:val="en-US"/>
              </w:rPr>
              <w:t>Environmental and Social Management Plan</w:t>
            </w:r>
          </w:p>
        </w:tc>
      </w:tr>
      <w:tr w:rsidR="004002DA" w:rsidRPr="0041504B" w14:paraId="5F3F8FD6" w14:textId="77777777" w:rsidTr="004002DA">
        <w:tc>
          <w:tcPr>
            <w:tcW w:w="1155" w:type="dxa"/>
          </w:tcPr>
          <w:p w14:paraId="6B124690" w14:textId="77777777" w:rsidR="004002DA" w:rsidRPr="0066181A" w:rsidRDefault="004002DA" w:rsidP="006F767C">
            <w:pPr>
              <w:spacing w:before="60" w:after="60" w:line="240" w:lineRule="auto"/>
              <w:rPr>
                <w:rFonts w:eastAsia="Arial" w:cs="Arial"/>
                <w:sz w:val="20"/>
              </w:rPr>
            </w:pPr>
            <w:r w:rsidRPr="0066181A">
              <w:rPr>
                <w:rFonts w:eastAsia="Arial" w:cs="Arial"/>
                <w:sz w:val="20"/>
              </w:rPr>
              <w:t>GOI</w:t>
            </w:r>
          </w:p>
        </w:tc>
        <w:tc>
          <w:tcPr>
            <w:tcW w:w="8447" w:type="dxa"/>
          </w:tcPr>
          <w:p w14:paraId="3729F242" w14:textId="77777777" w:rsidR="004002DA" w:rsidRPr="0066181A" w:rsidRDefault="004002DA" w:rsidP="006F767C">
            <w:pPr>
              <w:spacing w:before="60" w:after="60" w:line="240" w:lineRule="auto"/>
              <w:rPr>
                <w:rFonts w:eastAsia="Arial" w:cs="Arial"/>
                <w:sz w:val="20"/>
              </w:rPr>
            </w:pPr>
            <w:r w:rsidRPr="0066181A">
              <w:rPr>
                <w:rFonts w:eastAsia="Arial" w:cs="Arial"/>
                <w:sz w:val="20"/>
              </w:rPr>
              <w:t>Government of Israel</w:t>
            </w:r>
          </w:p>
        </w:tc>
      </w:tr>
      <w:tr w:rsidR="004002DA" w:rsidRPr="0041504B" w14:paraId="6B6589CB" w14:textId="77777777" w:rsidTr="004002DA">
        <w:tc>
          <w:tcPr>
            <w:tcW w:w="1155" w:type="dxa"/>
          </w:tcPr>
          <w:p w14:paraId="247DF7FC" w14:textId="77777777" w:rsidR="004002DA" w:rsidRPr="0066181A" w:rsidRDefault="004002DA" w:rsidP="006F767C">
            <w:pPr>
              <w:spacing w:before="60" w:after="60" w:line="240" w:lineRule="auto"/>
              <w:rPr>
                <w:rFonts w:eastAsia="Arial" w:cs="Arial"/>
                <w:sz w:val="20"/>
              </w:rPr>
            </w:pPr>
            <w:r w:rsidRPr="0066181A">
              <w:rPr>
                <w:rFonts w:eastAsia="Arial" w:cs="Arial"/>
                <w:sz w:val="20"/>
              </w:rPr>
              <w:t>GoP</w:t>
            </w:r>
          </w:p>
        </w:tc>
        <w:tc>
          <w:tcPr>
            <w:tcW w:w="8447" w:type="dxa"/>
          </w:tcPr>
          <w:p w14:paraId="0F9F3FF6" w14:textId="77777777" w:rsidR="004002DA" w:rsidRPr="0066181A" w:rsidRDefault="004002DA" w:rsidP="006F767C">
            <w:pPr>
              <w:spacing w:before="60" w:after="60" w:line="240" w:lineRule="auto"/>
              <w:rPr>
                <w:rFonts w:eastAsia="Arial" w:cs="Arial"/>
                <w:sz w:val="20"/>
              </w:rPr>
            </w:pPr>
            <w:r w:rsidRPr="0066181A">
              <w:rPr>
                <w:rFonts w:eastAsia="Arial" w:cs="Arial"/>
                <w:sz w:val="20"/>
              </w:rPr>
              <w:t>Government of Palestine</w:t>
            </w:r>
          </w:p>
        </w:tc>
      </w:tr>
      <w:tr w:rsidR="004002DA" w:rsidRPr="006F767C" w14:paraId="130BEA1A" w14:textId="77777777" w:rsidTr="004002DA">
        <w:tc>
          <w:tcPr>
            <w:tcW w:w="1155" w:type="dxa"/>
          </w:tcPr>
          <w:p w14:paraId="31643140" w14:textId="77777777" w:rsidR="004002DA" w:rsidRPr="0066181A" w:rsidRDefault="004002DA" w:rsidP="006F767C">
            <w:pPr>
              <w:spacing w:before="60" w:after="60" w:line="240" w:lineRule="auto"/>
              <w:rPr>
                <w:rFonts w:eastAsia="Arial" w:cs="Arial"/>
                <w:sz w:val="20"/>
              </w:rPr>
            </w:pPr>
            <w:r w:rsidRPr="0066181A">
              <w:rPr>
                <w:rFonts w:eastAsia="Arial" w:cs="Arial"/>
                <w:sz w:val="20"/>
              </w:rPr>
              <w:t>HACT</w:t>
            </w:r>
          </w:p>
        </w:tc>
        <w:tc>
          <w:tcPr>
            <w:tcW w:w="8447" w:type="dxa"/>
          </w:tcPr>
          <w:p w14:paraId="6BC22B81" w14:textId="77777777" w:rsidR="004002DA" w:rsidRPr="0066181A" w:rsidRDefault="004002DA" w:rsidP="006F767C">
            <w:pPr>
              <w:spacing w:before="60" w:after="60" w:line="240" w:lineRule="auto"/>
              <w:rPr>
                <w:rFonts w:eastAsia="Arial" w:cs="Arial"/>
                <w:sz w:val="20"/>
                <w:lang w:val="en-US"/>
              </w:rPr>
            </w:pPr>
            <w:r w:rsidRPr="0066181A">
              <w:rPr>
                <w:rFonts w:eastAsia="Arial" w:cs="Arial"/>
                <w:sz w:val="20"/>
                <w:lang w:val="en-US"/>
              </w:rPr>
              <w:t>Harmonized Approach to Cash Transfer</w:t>
            </w:r>
          </w:p>
        </w:tc>
      </w:tr>
      <w:tr w:rsidR="004002DA" w:rsidRPr="0041504B" w14:paraId="280070BF" w14:textId="77777777" w:rsidTr="004002DA">
        <w:tc>
          <w:tcPr>
            <w:tcW w:w="1155" w:type="dxa"/>
          </w:tcPr>
          <w:p w14:paraId="4B20B333" w14:textId="77777777" w:rsidR="004002DA" w:rsidRPr="0066181A" w:rsidRDefault="004002DA" w:rsidP="006F767C">
            <w:pPr>
              <w:spacing w:before="60" w:after="60" w:line="240" w:lineRule="auto"/>
              <w:rPr>
                <w:rFonts w:eastAsia="Arial" w:cs="Arial"/>
                <w:sz w:val="20"/>
              </w:rPr>
            </w:pPr>
            <w:r w:rsidRPr="0066181A">
              <w:rPr>
                <w:rFonts w:eastAsia="Arial" w:cs="Arial"/>
                <w:sz w:val="20"/>
              </w:rPr>
              <w:t>IP</w:t>
            </w:r>
          </w:p>
        </w:tc>
        <w:tc>
          <w:tcPr>
            <w:tcW w:w="8447" w:type="dxa"/>
          </w:tcPr>
          <w:p w14:paraId="40877781" w14:textId="77777777" w:rsidR="004002DA" w:rsidRPr="0066181A" w:rsidRDefault="004002DA" w:rsidP="006F767C">
            <w:pPr>
              <w:spacing w:before="60" w:after="60" w:line="240" w:lineRule="auto"/>
              <w:rPr>
                <w:rFonts w:eastAsia="Arial" w:cs="Arial"/>
                <w:sz w:val="20"/>
              </w:rPr>
            </w:pPr>
            <w:r w:rsidRPr="0066181A">
              <w:rPr>
                <w:rFonts w:eastAsia="Arial" w:cs="Arial"/>
                <w:sz w:val="20"/>
              </w:rPr>
              <w:t>Implementing Partner</w:t>
            </w:r>
          </w:p>
        </w:tc>
      </w:tr>
      <w:tr w:rsidR="004002DA" w:rsidRPr="0041504B" w14:paraId="36255F2D" w14:textId="77777777" w:rsidTr="004002DA">
        <w:tc>
          <w:tcPr>
            <w:tcW w:w="1155" w:type="dxa"/>
          </w:tcPr>
          <w:p w14:paraId="33F223E8" w14:textId="77777777" w:rsidR="004002DA" w:rsidRPr="0066181A" w:rsidRDefault="004002DA" w:rsidP="006F767C">
            <w:pPr>
              <w:spacing w:before="60" w:after="60" w:line="240" w:lineRule="auto"/>
              <w:rPr>
                <w:rFonts w:eastAsia="Arial" w:cs="Arial"/>
                <w:sz w:val="20"/>
              </w:rPr>
            </w:pPr>
            <w:r w:rsidRPr="0066181A">
              <w:rPr>
                <w:rFonts w:eastAsia="Arial" w:cs="Arial"/>
                <w:sz w:val="20"/>
              </w:rPr>
              <w:t>IPR</w:t>
            </w:r>
          </w:p>
        </w:tc>
        <w:tc>
          <w:tcPr>
            <w:tcW w:w="8447" w:type="dxa"/>
          </w:tcPr>
          <w:p w14:paraId="6B5850EC" w14:textId="77777777" w:rsidR="004002DA" w:rsidRPr="0066181A" w:rsidRDefault="004002DA" w:rsidP="006F767C">
            <w:pPr>
              <w:spacing w:before="60" w:after="60" w:line="240" w:lineRule="auto"/>
              <w:rPr>
                <w:rFonts w:eastAsia="Arial" w:cs="Arial"/>
                <w:sz w:val="20"/>
              </w:rPr>
            </w:pPr>
            <w:r w:rsidRPr="0066181A">
              <w:rPr>
                <w:rFonts w:eastAsia="Arial" w:cs="Arial"/>
                <w:sz w:val="20"/>
              </w:rPr>
              <w:t>Investment Programme for Resilience</w:t>
            </w:r>
          </w:p>
        </w:tc>
      </w:tr>
      <w:tr w:rsidR="004002DA" w:rsidRPr="0041504B" w14:paraId="526EFD20" w14:textId="77777777" w:rsidTr="004002DA">
        <w:tc>
          <w:tcPr>
            <w:tcW w:w="1155" w:type="dxa"/>
          </w:tcPr>
          <w:p w14:paraId="52C11B7C" w14:textId="77777777" w:rsidR="004002DA" w:rsidRPr="0066181A" w:rsidRDefault="004002DA" w:rsidP="006F767C">
            <w:pPr>
              <w:spacing w:before="60" w:after="60" w:line="240" w:lineRule="auto"/>
              <w:rPr>
                <w:rFonts w:eastAsia="Arial" w:cs="Arial"/>
                <w:sz w:val="20"/>
              </w:rPr>
            </w:pPr>
            <w:r w:rsidRPr="0066181A">
              <w:rPr>
                <w:rFonts w:eastAsia="Arial" w:cs="Arial"/>
                <w:sz w:val="20"/>
              </w:rPr>
              <w:t>KfW</w:t>
            </w:r>
          </w:p>
        </w:tc>
        <w:tc>
          <w:tcPr>
            <w:tcW w:w="8447" w:type="dxa"/>
          </w:tcPr>
          <w:p w14:paraId="55485197" w14:textId="77777777" w:rsidR="004002DA" w:rsidRPr="0066181A" w:rsidRDefault="004002DA" w:rsidP="006F767C">
            <w:pPr>
              <w:spacing w:before="60" w:after="60" w:line="240" w:lineRule="auto"/>
              <w:rPr>
                <w:rFonts w:eastAsia="Arial" w:cs="Arial"/>
                <w:sz w:val="20"/>
              </w:rPr>
            </w:pPr>
            <w:r w:rsidRPr="0066181A">
              <w:rPr>
                <w:rFonts w:eastAsia="Arial" w:cs="Arial"/>
                <w:sz w:val="20"/>
              </w:rPr>
              <w:t>Kreditanstalt für Wiederaufbau</w:t>
            </w:r>
          </w:p>
        </w:tc>
      </w:tr>
      <w:tr w:rsidR="004002DA" w:rsidRPr="0041504B" w14:paraId="16526C12" w14:textId="77777777" w:rsidTr="004002DA">
        <w:tc>
          <w:tcPr>
            <w:tcW w:w="1155" w:type="dxa"/>
          </w:tcPr>
          <w:p w14:paraId="06F1845A" w14:textId="77777777" w:rsidR="004002DA" w:rsidRPr="0066181A" w:rsidRDefault="004002DA" w:rsidP="006F767C">
            <w:pPr>
              <w:spacing w:before="60" w:after="60" w:line="240" w:lineRule="auto"/>
              <w:rPr>
                <w:rFonts w:eastAsia="Arial" w:cs="Arial"/>
                <w:sz w:val="20"/>
              </w:rPr>
            </w:pPr>
            <w:r w:rsidRPr="0066181A">
              <w:rPr>
                <w:rFonts w:eastAsia="Arial" w:cs="Arial"/>
                <w:sz w:val="20"/>
              </w:rPr>
              <w:t>LGU</w:t>
            </w:r>
          </w:p>
        </w:tc>
        <w:tc>
          <w:tcPr>
            <w:tcW w:w="8447" w:type="dxa"/>
          </w:tcPr>
          <w:p w14:paraId="7A6F2E5C" w14:textId="77777777" w:rsidR="004002DA" w:rsidRPr="0066181A" w:rsidRDefault="004002DA" w:rsidP="006F767C">
            <w:pPr>
              <w:spacing w:before="60" w:after="60" w:line="240" w:lineRule="auto"/>
              <w:rPr>
                <w:rFonts w:eastAsia="Arial" w:cs="Arial"/>
                <w:sz w:val="20"/>
              </w:rPr>
            </w:pPr>
            <w:r w:rsidRPr="0066181A">
              <w:rPr>
                <w:rFonts w:eastAsia="Arial" w:cs="Arial"/>
                <w:sz w:val="20"/>
              </w:rPr>
              <w:t>Local Government Unit</w:t>
            </w:r>
          </w:p>
        </w:tc>
      </w:tr>
      <w:tr w:rsidR="004002DA" w:rsidRPr="0041504B" w14:paraId="6A1DC8BB" w14:textId="77777777" w:rsidTr="004002DA">
        <w:tc>
          <w:tcPr>
            <w:tcW w:w="1155" w:type="dxa"/>
          </w:tcPr>
          <w:p w14:paraId="7308B0B3" w14:textId="77777777" w:rsidR="004002DA" w:rsidRPr="0066181A" w:rsidRDefault="004002DA" w:rsidP="006F767C">
            <w:pPr>
              <w:spacing w:before="60" w:after="60" w:line="240" w:lineRule="auto"/>
              <w:rPr>
                <w:rFonts w:eastAsia="Arial" w:cs="Arial"/>
                <w:sz w:val="20"/>
              </w:rPr>
            </w:pPr>
            <w:r w:rsidRPr="0066181A">
              <w:rPr>
                <w:rFonts w:eastAsia="Arial" w:cs="Arial"/>
                <w:sz w:val="20"/>
              </w:rPr>
              <w:t>LTA</w:t>
            </w:r>
          </w:p>
        </w:tc>
        <w:tc>
          <w:tcPr>
            <w:tcW w:w="8447" w:type="dxa"/>
          </w:tcPr>
          <w:p w14:paraId="2F6FABC7" w14:textId="77777777" w:rsidR="004002DA" w:rsidRPr="0066181A" w:rsidRDefault="004002DA" w:rsidP="006F767C">
            <w:pPr>
              <w:spacing w:before="60" w:after="60" w:line="240" w:lineRule="auto"/>
              <w:rPr>
                <w:rFonts w:eastAsia="Arial" w:cs="Arial"/>
                <w:sz w:val="20"/>
              </w:rPr>
            </w:pPr>
            <w:r w:rsidRPr="0066181A">
              <w:rPr>
                <w:rFonts w:eastAsia="Arial" w:cs="Arial"/>
                <w:sz w:val="20"/>
              </w:rPr>
              <w:t>Long-Term Agreements</w:t>
            </w:r>
          </w:p>
        </w:tc>
      </w:tr>
      <w:tr w:rsidR="004002DA" w:rsidRPr="0041504B" w14:paraId="4AF0BCC6" w14:textId="77777777" w:rsidTr="004002DA">
        <w:tc>
          <w:tcPr>
            <w:tcW w:w="1155" w:type="dxa"/>
          </w:tcPr>
          <w:p w14:paraId="13AAAD2A" w14:textId="77777777" w:rsidR="004002DA" w:rsidRPr="0066181A" w:rsidRDefault="004002DA" w:rsidP="006F767C">
            <w:pPr>
              <w:spacing w:before="60" w:after="60" w:line="240" w:lineRule="auto"/>
              <w:rPr>
                <w:rFonts w:eastAsia="Arial" w:cs="Arial"/>
                <w:sz w:val="20"/>
              </w:rPr>
            </w:pPr>
            <w:r w:rsidRPr="0066181A">
              <w:rPr>
                <w:rFonts w:eastAsia="Arial" w:cs="Arial"/>
                <w:sz w:val="20"/>
              </w:rPr>
              <w:t>LS</w:t>
            </w:r>
          </w:p>
        </w:tc>
        <w:tc>
          <w:tcPr>
            <w:tcW w:w="8447" w:type="dxa"/>
          </w:tcPr>
          <w:p w14:paraId="15C1E812" w14:textId="77777777" w:rsidR="004002DA" w:rsidRPr="0066181A" w:rsidRDefault="004002DA" w:rsidP="006F767C">
            <w:pPr>
              <w:spacing w:before="60" w:after="60" w:line="240" w:lineRule="auto"/>
              <w:rPr>
                <w:rFonts w:eastAsia="Arial" w:cs="Arial"/>
                <w:sz w:val="20"/>
              </w:rPr>
            </w:pPr>
            <w:r w:rsidRPr="0066181A">
              <w:rPr>
                <w:rFonts w:eastAsia="Arial" w:cs="Arial"/>
                <w:sz w:val="20"/>
              </w:rPr>
              <w:t>Lump Sum</w:t>
            </w:r>
          </w:p>
        </w:tc>
      </w:tr>
      <w:tr w:rsidR="004002DA" w:rsidRPr="0041504B" w14:paraId="7BD9799F" w14:textId="77777777" w:rsidTr="004002DA">
        <w:tc>
          <w:tcPr>
            <w:tcW w:w="1155" w:type="dxa"/>
          </w:tcPr>
          <w:p w14:paraId="1086E7A7" w14:textId="77777777" w:rsidR="004002DA" w:rsidRPr="0066181A" w:rsidRDefault="004002DA" w:rsidP="006F767C">
            <w:pPr>
              <w:spacing w:before="60" w:after="60" w:line="240" w:lineRule="auto"/>
              <w:rPr>
                <w:rFonts w:eastAsia="Arial" w:cs="Arial"/>
                <w:sz w:val="20"/>
              </w:rPr>
            </w:pPr>
            <w:r w:rsidRPr="0066181A">
              <w:rPr>
                <w:rFonts w:eastAsia="Arial" w:cs="Arial"/>
                <w:sz w:val="20"/>
              </w:rPr>
              <w:t>M&amp;E</w:t>
            </w:r>
          </w:p>
        </w:tc>
        <w:tc>
          <w:tcPr>
            <w:tcW w:w="8447" w:type="dxa"/>
          </w:tcPr>
          <w:p w14:paraId="22719E7A" w14:textId="77777777" w:rsidR="004002DA" w:rsidRPr="0066181A" w:rsidRDefault="004002DA" w:rsidP="006F767C">
            <w:pPr>
              <w:spacing w:before="60" w:after="60" w:line="240" w:lineRule="auto"/>
              <w:rPr>
                <w:rFonts w:eastAsia="Arial" w:cs="Arial"/>
                <w:sz w:val="20"/>
              </w:rPr>
            </w:pPr>
            <w:r w:rsidRPr="0066181A">
              <w:rPr>
                <w:rFonts w:eastAsia="Arial" w:cs="Arial"/>
                <w:sz w:val="20"/>
              </w:rPr>
              <w:t>Monitoring and Evaluation</w:t>
            </w:r>
          </w:p>
        </w:tc>
      </w:tr>
      <w:tr w:rsidR="004002DA" w:rsidRPr="0041504B" w14:paraId="59C32510" w14:textId="77777777" w:rsidTr="004002DA">
        <w:tc>
          <w:tcPr>
            <w:tcW w:w="1155" w:type="dxa"/>
          </w:tcPr>
          <w:p w14:paraId="611BB7A7" w14:textId="77777777" w:rsidR="004002DA" w:rsidRPr="0066181A" w:rsidRDefault="004002DA" w:rsidP="006F767C">
            <w:pPr>
              <w:spacing w:before="60" w:after="60" w:line="240" w:lineRule="auto"/>
              <w:rPr>
                <w:rFonts w:eastAsia="Arial" w:cs="Arial"/>
                <w:sz w:val="20"/>
              </w:rPr>
            </w:pPr>
            <w:r w:rsidRPr="0066181A">
              <w:rPr>
                <w:rFonts w:eastAsia="Arial" w:cs="Arial"/>
                <w:sz w:val="20"/>
              </w:rPr>
              <w:t>MoH</w:t>
            </w:r>
          </w:p>
        </w:tc>
        <w:tc>
          <w:tcPr>
            <w:tcW w:w="8447" w:type="dxa"/>
          </w:tcPr>
          <w:p w14:paraId="7F617B46" w14:textId="77777777" w:rsidR="004002DA" w:rsidRPr="0066181A" w:rsidRDefault="004002DA" w:rsidP="006F767C">
            <w:pPr>
              <w:spacing w:before="60" w:after="60" w:line="240" w:lineRule="auto"/>
              <w:rPr>
                <w:rFonts w:eastAsia="Arial" w:cs="Arial"/>
                <w:sz w:val="20"/>
              </w:rPr>
            </w:pPr>
            <w:r w:rsidRPr="0066181A">
              <w:rPr>
                <w:rFonts w:eastAsia="Arial" w:cs="Arial"/>
                <w:sz w:val="20"/>
              </w:rPr>
              <w:t>Ministry of Health</w:t>
            </w:r>
          </w:p>
        </w:tc>
      </w:tr>
      <w:tr w:rsidR="004002DA" w:rsidRPr="0041504B" w14:paraId="02D2DA12" w14:textId="77777777" w:rsidTr="004002DA">
        <w:tc>
          <w:tcPr>
            <w:tcW w:w="1155" w:type="dxa"/>
          </w:tcPr>
          <w:p w14:paraId="2E71C1BD" w14:textId="77777777" w:rsidR="004002DA" w:rsidRPr="0066181A" w:rsidRDefault="004002DA" w:rsidP="006F767C">
            <w:pPr>
              <w:spacing w:before="60" w:after="60" w:line="240" w:lineRule="auto"/>
              <w:rPr>
                <w:rFonts w:eastAsia="Arial" w:cs="Arial"/>
                <w:sz w:val="20"/>
              </w:rPr>
            </w:pPr>
            <w:r w:rsidRPr="0066181A">
              <w:rPr>
                <w:rFonts w:eastAsia="Arial" w:cs="Arial"/>
                <w:sz w:val="20"/>
              </w:rPr>
              <w:t>MSME</w:t>
            </w:r>
          </w:p>
        </w:tc>
        <w:tc>
          <w:tcPr>
            <w:tcW w:w="8447" w:type="dxa"/>
          </w:tcPr>
          <w:p w14:paraId="5D222ADA" w14:textId="77777777" w:rsidR="004002DA" w:rsidRPr="0066181A" w:rsidRDefault="004002DA" w:rsidP="006F767C">
            <w:pPr>
              <w:spacing w:before="60" w:after="60" w:line="240" w:lineRule="auto"/>
              <w:rPr>
                <w:rFonts w:eastAsia="Arial" w:cs="Arial"/>
                <w:sz w:val="20"/>
              </w:rPr>
            </w:pPr>
            <w:r w:rsidRPr="0066181A">
              <w:rPr>
                <w:rFonts w:eastAsia="Arial" w:cs="Arial"/>
                <w:sz w:val="20"/>
              </w:rPr>
              <w:t>Micro-Small-Medium Enterprises</w:t>
            </w:r>
          </w:p>
        </w:tc>
      </w:tr>
      <w:tr w:rsidR="004002DA" w:rsidRPr="0041504B" w14:paraId="4DECD148" w14:textId="77777777" w:rsidTr="004002DA">
        <w:tc>
          <w:tcPr>
            <w:tcW w:w="1155" w:type="dxa"/>
          </w:tcPr>
          <w:p w14:paraId="6E049517" w14:textId="77777777" w:rsidR="004002DA" w:rsidRPr="0066181A" w:rsidRDefault="004002DA" w:rsidP="006F767C">
            <w:pPr>
              <w:spacing w:before="60" w:after="60" w:line="240" w:lineRule="auto"/>
              <w:rPr>
                <w:rFonts w:eastAsia="Arial" w:cs="Arial"/>
                <w:sz w:val="20"/>
              </w:rPr>
            </w:pPr>
            <w:r w:rsidRPr="0066181A">
              <w:rPr>
                <w:rFonts w:eastAsia="Arial" w:cs="Arial"/>
                <w:sz w:val="20"/>
              </w:rPr>
              <w:t>NPA</w:t>
            </w:r>
          </w:p>
        </w:tc>
        <w:tc>
          <w:tcPr>
            <w:tcW w:w="8447" w:type="dxa"/>
          </w:tcPr>
          <w:p w14:paraId="40D8882C" w14:textId="77777777" w:rsidR="004002DA" w:rsidRPr="0066181A" w:rsidRDefault="004002DA" w:rsidP="006F767C">
            <w:pPr>
              <w:spacing w:before="60" w:after="60" w:line="240" w:lineRule="auto"/>
              <w:rPr>
                <w:rFonts w:eastAsia="Arial" w:cs="Arial"/>
                <w:sz w:val="20"/>
              </w:rPr>
            </w:pPr>
            <w:r w:rsidRPr="0066181A">
              <w:rPr>
                <w:rFonts w:eastAsia="Arial" w:cs="Arial"/>
                <w:sz w:val="20"/>
              </w:rPr>
              <w:t>National Policy Agenda</w:t>
            </w:r>
          </w:p>
        </w:tc>
      </w:tr>
      <w:tr w:rsidR="004002DA" w:rsidRPr="0041504B" w14:paraId="5AE79D9B" w14:textId="77777777" w:rsidTr="004002DA">
        <w:tc>
          <w:tcPr>
            <w:tcW w:w="1155" w:type="dxa"/>
          </w:tcPr>
          <w:p w14:paraId="11259412" w14:textId="77777777" w:rsidR="004002DA" w:rsidRPr="0066181A" w:rsidRDefault="004002DA" w:rsidP="006F767C">
            <w:pPr>
              <w:spacing w:before="60" w:after="60" w:line="240" w:lineRule="auto"/>
              <w:rPr>
                <w:rFonts w:eastAsia="Arial" w:cs="Arial"/>
                <w:sz w:val="20"/>
              </w:rPr>
            </w:pPr>
            <w:r w:rsidRPr="0066181A">
              <w:rPr>
                <w:rFonts w:eastAsia="Arial" w:cs="Arial"/>
                <w:sz w:val="20"/>
              </w:rPr>
              <w:t>oPt</w:t>
            </w:r>
          </w:p>
        </w:tc>
        <w:tc>
          <w:tcPr>
            <w:tcW w:w="8447" w:type="dxa"/>
          </w:tcPr>
          <w:p w14:paraId="69AE3301" w14:textId="77777777" w:rsidR="004002DA" w:rsidRPr="0066181A" w:rsidRDefault="004002DA" w:rsidP="006F767C">
            <w:pPr>
              <w:spacing w:before="60" w:after="60" w:line="240" w:lineRule="auto"/>
              <w:rPr>
                <w:rFonts w:eastAsia="Arial" w:cs="Arial"/>
                <w:sz w:val="20"/>
              </w:rPr>
            </w:pPr>
            <w:r w:rsidRPr="0066181A">
              <w:rPr>
                <w:rFonts w:eastAsia="Arial" w:cs="Arial"/>
                <w:sz w:val="20"/>
              </w:rPr>
              <w:t>Occupied Palestinian Territory</w:t>
            </w:r>
          </w:p>
        </w:tc>
      </w:tr>
      <w:tr w:rsidR="004002DA" w:rsidRPr="006F767C" w14:paraId="38512C3F" w14:textId="77777777" w:rsidTr="004002DA">
        <w:tc>
          <w:tcPr>
            <w:tcW w:w="1155" w:type="dxa"/>
          </w:tcPr>
          <w:p w14:paraId="029620E6" w14:textId="77777777" w:rsidR="004002DA" w:rsidRPr="0066181A" w:rsidRDefault="004002DA" w:rsidP="006F767C">
            <w:pPr>
              <w:spacing w:before="60" w:after="60" w:line="240" w:lineRule="auto"/>
              <w:rPr>
                <w:rFonts w:cs="Arial"/>
                <w:sz w:val="20"/>
              </w:rPr>
            </w:pPr>
            <w:r w:rsidRPr="0066181A">
              <w:rPr>
                <w:rFonts w:eastAsia="Arial" w:cs="Arial"/>
                <w:sz w:val="20"/>
              </w:rPr>
              <w:t>POPP</w:t>
            </w:r>
          </w:p>
        </w:tc>
        <w:tc>
          <w:tcPr>
            <w:tcW w:w="8447" w:type="dxa"/>
          </w:tcPr>
          <w:p w14:paraId="5478C602" w14:textId="77777777" w:rsidR="004002DA" w:rsidRPr="0066181A" w:rsidRDefault="004002DA" w:rsidP="006F767C">
            <w:pPr>
              <w:spacing w:before="60" w:after="60" w:line="240" w:lineRule="auto"/>
              <w:rPr>
                <w:rFonts w:cs="Arial"/>
                <w:sz w:val="20"/>
                <w:lang w:val="en-US"/>
              </w:rPr>
            </w:pPr>
            <w:r w:rsidRPr="0066181A">
              <w:rPr>
                <w:rFonts w:eastAsia="Arial" w:cs="Arial"/>
                <w:sz w:val="20"/>
                <w:lang w:val="en-US"/>
              </w:rPr>
              <w:t>Programme Operations Policies and Procedures</w:t>
            </w:r>
          </w:p>
        </w:tc>
      </w:tr>
      <w:tr w:rsidR="004002DA" w:rsidRPr="0041504B" w14:paraId="57FAE6F0" w14:textId="77777777" w:rsidTr="004002DA">
        <w:tc>
          <w:tcPr>
            <w:tcW w:w="1155" w:type="dxa"/>
          </w:tcPr>
          <w:p w14:paraId="1D1B3E7C" w14:textId="77777777" w:rsidR="004002DA" w:rsidRPr="0066181A" w:rsidRDefault="004002DA" w:rsidP="006F767C">
            <w:pPr>
              <w:spacing w:before="60" w:after="60" w:line="240" w:lineRule="auto"/>
              <w:rPr>
                <w:rFonts w:eastAsia="Arial" w:cs="Arial"/>
                <w:sz w:val="20"/>
              </w:rPr>
            </w:pPr>
            <w:r w:rsidRPr="0066181A">
              <w:rPr>
                <w:rFonts w:eastAsia="Arial" w:cs="Arial"/>
                <w:sz w:val="20"/>
              </w:rPr>
              <w:t>PA</w:t>
            </w:r>
          </w:p>
        </w:tc>
        <w:tc>
          <w:tcPr>
            <w:tcW w:w="8447" w:type="dxa"/>
          </w:tcPr>
          <w:p w14:paraId="3938ED78" w14:textId="77777777" w:rsidR="004002DA" w:rsidRPr="0066181A" w:rsidRDefault="004002DA" w:rsidP="006F767C">
            <w:pPr>
              <w:spacing w:before="60" w:after="60" w:line="240" w:lineRule="auto"/>
              <w:rPr>
                <w:rFonts w:eastAsia="Arial" w:cs="Arial"/>
                <w:sz w:val="20"/>
              </w:rPr>
            </w:pPr>
            <w:r w:rsidRPr="0066181A">
              <w:rPr>
                <w:rFonts w:eastAsia="Arial" w:cs="Arial"/>
                <w:sz w:val="20"/>
              </w:rPr>
              <w:t>Palestinian Authority</w:t>
            </w:r>
          </w:p>
        </w:tc>
      </w:tr>
      <w:tr w:rsidR="004002DA" w:rsidRPr="0041504B" w14:paraId="0808477F" w14:textId="77777777" w:rsidTr="004002DA">
        <w:tc>
          <w:tcPr>
            <w:tcW w:w="1155" w:type="dxa"/>
          </w:tcPr>
          <w:p w14:paraId="4F7A76EE" w14:textId="77777777" w:rsidR="004002DA" w:rsidRPr="0066181A" w:rsidRDefault="004002DA" w:rsidP="006F767C">
            <w:pPr>
              <w:spacing w:before="60" w:after="60" w:line="240" w:lineRule="auto"/>
              <w:rPr>
                <w:rFonts w:eastAsia="Arial" w:cs="Arial"/>
                <w:sz w:val="20"/>
              </w:rPr>
            </w:pPr>
            <w:r w:rsidRPr="0066181A">
              <w:rPr>
                <w:rFonts w:eastAsia="Arial" w:cs="Arial"/>
                <w:sz w:val="20"/>
              </w:rPr>
              <w:t>PIU</w:t>
            </w:r>
          </w:p>
        </w:tc>
        <w:tc>
          <w:tcPr>
            <w:tcW w:w="8447" w:type="dxa"/>
          </w:tcPr>
          <w:p w14:paraId="283157F6" w14:textId="77777777" w:rsidR="004002DA" w:rsidRPr="0066181A" w:rsidRDefault="004002DA" w:rsidP="006F767C">
            <w:pPr>
              <w:spacing w:before="60" w:after="60" w:line="240" w:lineRule="auto"/>
              <w:rPr>
                <w:rFonts w:eastAsia="Arial" w:cs="Arial"/>
                <w:sz w:val="20"/>
              </w:rPr>
            </w:pPr>
            <w:r w:rsidRPr="0066181A">
              <w:rPr>
                <w:rFonts w:eastAsia="Arial" w:cs="Arial"/>
                <w:sz w:val="20"/>
              </w:rPr>
              <w:t xml:space="preserve">Project Implementation Unit </w:t>
            </w:r>
          </w:p>
        </w:tc>
      </w:tr>
      <w:tr w:rsidR="004002DA" w:rsidRPr="0041504B" w14:paraId="649E71A3" w14:textId="77777777" w:rsidTr="004002DA">
        <w:tc>
          <w:tcPr>
            <w:tcW w:w="1155" w:type="dxa"/>
          </w:tcPr>
          <w:p w14:paraId="40AB7F6B" w14:textId="77777777" w:rsidR="004002DA" w:rsidRPr="0066181A" w:rsidRDefault="004002DA" w:rsidP="006F767C">
            <w:pPr>
              <w:spacing w:before="60" w:after="60" w:line="240" w:lineRule="auto"/>
              <w:rPr>
                <w:rFonts w:eastAsia="Arial" w:cs="Arial"/>
                <w:sz w:val="20"/>
              </w:rPr>
            </w:pPr>
            <w:r w:rsidRPr="0066181A">
              <w:rPr>
                <w:rFonts w:eastAsia="Arial" w:cs="Arial"/>
                <w:sz w:val="20"/>
              </w:rPr>
              <w:t>PMO</w:t>
            </w:r>
          </w:p>
        </w:tc>
        <w:tc>
          <w:tcPr>
            <w:tcW w:w="8447" w:type="dxa"/>
          </w:tcPr>
          <w:p w14:paraId="0E441320" w14:textId="77777777" w:rsidR="004002DA" w:rsidRPr="0066181A" w:rsidRDefault="004002DA" w:rsidP="006F767C">
            <w:pPr>
              <w:spacing w:before="60" w:after="60" w:line="240" w:lineRule="auto"/>
              <w:rPr>
                <w:rFonts w:eastAsia="Arial" w:cs="Arial"/>
                <w:sz w:val="20"/>
              </w:rPr>
            </w:pPr>
            <w:r w:rsidRPr="0066181A">
              <w:rPr>
                <w:rFonts w:eastAsia="Arial" w:cs="Arial"/>
                <w:sz w:val="20"/>
              </w:rPr>
              <w:t>Prime Minister’s Office</w:t>
            </w:r>
          </w:p>
        </w:tc>
      </w:tr>
      <w:tr w:rsidR="004002DA" w:rsidRPr="0041504B" w14:paraId="685FC955" w14:textId="77777777" w:rsidTr="004002DA">
        <w:tc>
          <w:tcPr>
            <w:tcW w:w="1155" w:type="dxa"/>
          </w:tcPr>
          <w:p w14:paraId="2D7A7134" w14:textId="77777777" w:rsidR="004002DA" w:rsidRPr="0066181A" w:rsidRDefault="004002DA" w:rsidP="006F767C">
            <w:pPr>
              <w:spacing w:before="60" w:after="60" w:line="240" w:lineRule="auto"/>
              <w:rPr>
                <w:rFonts w:eastAsia="Arial" w:cs="Arial"/>
                <w:sz w:val="20"/>
              </w:rPr>
            </w:pPr>
            <w:r w:rsidRPr="0066181A">
              <w:rPr>
                <w:rFonts w:eastAsia="Arial" w:cs="Arial"/>
                <w:sz w:val="20"/>
              </w:rPr>
              <w:t>PPE</w:t>
            </w:r>
          </w:p>
        </w:tc>
        <w:tc>
          <w:tcPr>
            <w:tcW w:w="8447" w:type="dxa"/>
          </w:tcPr>
          <w:p w14:paraId="4D559C73" w14:textId="77777777" w:rsidR="004002DA" w:rsidRPr="0066181A" w:rsidRDefault="004002DA" w:rsidP="006F767C">
            <w:pPr>
              <w:spacing w:before="60" w:after="60" w:line="240" w:lineRule="auto"/>
              <w:rPr>
                <w:rFonts w:eastAsia="Arial" w:cs="Arial"/>
                <w:sz w:val="20"/>
              </w:rPr>
            </w:pPr>
            <w:r w:rsidRPr="0066181A">
              <w:rPr>
                <w:rFonts w:eastAsia="Arial" w:cs="Arial"/>
                <w:sz w:val="20"/>
              </w:rPr>
              <w:t>Personal Protective Equipment</w:t>
            </w:r>
          </w:p>
        </w:tc>
      </w:tr>
      <w:tr w:rsidR="004002DA" w:rsidRPr="0041504B" w14:paraId="003DB893" w14:textId="77777777" w:rsidTr="004002DA">
        <w:tc>
          <w:tcPr>
            <w:tcW w:w="1155" w:type="dxa"/>
          </w:tcPr>
          <w:p w14:paraId="3DBBAEC0" w14:textId="77777777" w:rsidR="004002DA" w:rsidRPr="0066181A" w:rsidRDefault="004002DA" w:rsidP="006F767C">
            <w:pPr>
              <w:spacing w:before="60" w:after="60" w:line="240" w:lineRule="auto"/>
              <w:rPr>
                <w:rFonts w:eastAsia="Arial" w:cs="Arial"/>
                <w:sz w:val="20"/>
              </w:rPr>
            </w:pPr>
            <w:r w:rsidRPr="0066181A">
              <w:rPr>
                <w:rFonts w:eastAsia="Arial" w:cs="Arial"/>
                <w:sz w:val="20"/>
              </w:rPr>
              <w:t>SDC</w:t>
            </w:r>
          </w:p>
        </w:tc>
        <w:tc>
          <w:tcPr>
            <w:tcW w:w="8447" w:type="dxa"/>
          </w:tcPr>
          <w:p w14:paraId="642BD2AA" w14:textId="77777777" w:rsidR="004002DA" w:rsidRPr="0066181A" w:rsidRDefault="004002DA" w:rsidP="006F767C">
            <w:pPr>
              <w:spacing w:before="60" w:after="60" w:line="240" w:lineRule="auto"/>
              <w:rPr>
                <w:rFonts w:eastAsia="Arial" w:cs="Arial"/>
                <w:sz w:val="20"/>
              </w:rPr>
            </w:pPr>
            <w:r w:rsidRPr="0066181A">
              <w:rPr>
                <w:rFonts w:eastAsia="Arial" w:cs="Arial"/>
                <w:sz w:val="20"/>
              </w:rPr>
              <w:t>Swiss Development Cooperation</w:t>
            </w:r>
          </w:p>
        </w:tc>
      </w:tr>
      <w:tr w:rsidR="004002DA" w:rsidRPr="0041504B" w14:paraId="2EECAEF9" w14:textId="77777777" w:rsidTr="004002DA">
        <w:tc>
          <w:tcPr>
            <w:tcW w:w="1155" w:type="dxa"/>
          </w:tcPr>
          <w:p w14:paraId="5ADE99B2" w14:textId="77777777" w:rsidR="004002DA" w:rsidRPr="0066181A" w:rsidRDefault="004002DA" w:rsidP="006F767C">
            <w:pPr>
              <w:spacing w:before="60" w:after="60" w:line="240" w:lineRule="auto"/>
              <w:rPr>
                <w:rFonts w:eastAsia="Arial" w:cs="Arial"/>
                <w:sz w:val="20"/>
              </w:rPr>
            </w:pPr>
            <w:r w:rsidRPr="0066181A">
              <w:rPr>
                <w:rFonts w:eastAsia="Arial" w:cs="Arial"/>
                <w:sz w:val="20"/>
              </w:rPr>
              <w:t>SE</w:t>
            </w:r>
          </w:p>
        </w:tc>
        <w:tc>
          <w:tcPr>
            <w:tcW w:w="8447" w:type="dxa"/>
          </w:tcPr>
          <w:p w14:paraId="28BB27A5" w14:textId="77777777" w:rsidR="004002DA" w:rsidRPr="0066181A" w:rsidRDefault="004002DA" w:rsidP="006F767C">
            <w:pPr>
              <w:spacing w:before="60" w:after="60" w:line="240" w:lineRule="auto"/>
              <w:rPr>
                <w:rFonts w:eastAsia="Arial" w:cs="Arial"/>
                <w:sz w:val="20"/>
              </w:rPr>
            </w:pPr>
            <w:r w:rsidRPr="0066181A">
              <w:rPr>
                <w:rFonts w:eastAsia="Arial" w:cs="Arial"/>
                <w:sz w:val="20"/>
              </w:rPr>
              <w:t>Social Enterprise</w:t>
            </w:r>
          </w:p>
        </w:tc>
      </w:tr>
      <w:tr w:rsidR="004002DA" w:rsidRPr="006F767C" w14:paraId="1CCB1ABA" w14:textId="77777777" w:rsidTr="004002DA">
        <w:tc>
          <w:tcPr>
            <w:tcW w:w="1155" w:type="dxa"/>
          </w:tcPr>
          <w:p w14:paraId="49014B9E" w14:textId="77777777" w:rsidR="004002DA" w:rsidRPr="0066181A" w:rsidRDefault="004002DA" w:rsidP="006F767C">
            <w:pPr>
              <w:spacing w:before="60" w:after="60" w:line="240" w:lineRule="auto"/>
              <w:rPr>
                <w:rFonts w:eastAsia="Arial" w:cs="Arial"/>
                <w:sz w:val="20"/>
              </w:rPr>
            </w:pPr>
            <w:r w:rsidRPr="0066181A">
              <w:rPr>
                <w:rFonts w:eastAsia="Arial" w:cs="Arial"/>
                <w:sz w:val="20"/>
              </w:rPr>
              <w:t>SERR</w:t>
            </w:r>
          </w:p>
        </w:tc>
        <w:tc>
          <w:tcPr>
            <w:tcW w:w="8447" w:type="dxa"/>
          </w:tcPr>
          <w:p w14:paraId="51BEB8F9" w14:textId="77777777" w:rsidR="004002DA" w:rsidRPr="0066181A" w:rsidRDefault="004002DA" w:rsidP="006F767C">
            <w:pPr>
              <w:spacing w:before="60" w:after="60" w:line="240" w:lineRule="auto"/>
              <w:rPr>
                <w:rFonts w:eastAsia="Arial" w:cs="Arial"/>
                <w:sz w:val="20"/>
                <w:lang w:val="en-US"/>
              </w:rPr>
            </w:pPr>
            <w:r w:rsidRPr="0066181A">
              <w:rPr>
                <w:rFonts w:eastAsia="Arial" w:cs="Arial"/>
                <w:sz w:val="20"/>
                <w:lang w:val="en-US"/>
              </w:rPr>
              <w:t>Socio-economic Recovery and Response Unit</w:t>
            </w:r>
          </w:p>
        </w:tc>
      </w:tr>
      <w:tr w:rsidR="004002DA" w:rsidRPr="0041504B" w14:paraId="27C1C930" w14:textId="77777777" w:rsidTr="004002DA">
        <w:tc>
          <w:tcPr>
            <w:tcW w:w="1155" w:type="dxa"/>
          </w:tcPr>
          <w:p w14:paraId="36CD051F" w14:textId="77777777" w:rsidR="004002DA" w:rsidRPr="0066181A" w:rsidRDefault="004002DA" w:rsidP="006F767C">
            <w:pPr>
              <w:spacing w:before="60" w:after="60" w:line="240" w:lineRule="auto"/>
              <w:rPr>
                <w:rFonts w:eastAsia="Arial" w:cs="Arial"/>
                <w:sz w:val="20"/>
              </w:rPr>
            </w:pPr>
            <w:r w:rsidRPr="0066181A">
              <w:rPr>
                <w:rFonts w:eastAsia="Arial" w:cs="Arial"/>
                <w:sz w:val="20"/>
              </w:rPr>
              <w:t>TDA</w:t>
            </w:r>
          </w:p>
        </w:tc>
        <w:tc>
          <w:tcPr>
            <w:tcW w:w="8447" w:type="dxa"/>
          </w:tcPr>
          <w:p w14:paraId="724A4EE6" w14:textId="77777777" w:rsidR="004002DA" w:rsidRPr="0066181A" w:rsidRDefault="004002DA" w:rsidP="006F767C">
            <w:pPr>
              <w:spacing w:before="60" w:after="60" w:line="240" w:lineRule="auto"/>
              <w:rPr>
                <w:rFonts w:eastAsia="Arial" w:cs="Arial"/>
                <w:sz w:val="20"/>
              </w:rPr>
            </w:pPr>
            <w:r w:rsidRPr="0066181A">
              <w:rPr>
                <w:rFonts w:eastAsia="Arial" w:cs="Arial"/>
                <w:sz w:val="20"/>
              </w:rPr>
              <w:t>Transitional Development Assistance</w:t>
            </w:r>
          </w:p>
        </w:tc>
      </w:tr>
      <w:tr w:rsidR="004002DA" w:rsidRPr="0041504B" w14:paraId="47F987CD" w14:textId="77777777" w:rsidTr="004002DA">
        <w:tc>
          <w:tcPr>
            <w:tcW w:w="1155" w:type="dxa"/>
          </w:tcPr>
          <w:p w14:paraId="50500530" w14:textId="77777777" w:rsidR="004002DA" w:rsidRPr="0066181A" w:rsidRDefault="004002DA" w:rsidP="006F767C">
            <w:pPr>
              <w:spacing w:before="60" w:after="60" w:line="240" w:lineRule="auto"/>
              <w:rPr>
                <w:rFonts w:eastAsia="Arial" w:cs="Arial"/>
                <w:sz w:val="20"/>
              </w:rPr>
            </w:pPr>
            <w:r w:rsidRPr="0066181A">
              <w:rPr>
                <w:rFonts w:eastAsia="Arial" w:cs="Arial"/>
                <w:sz w:val="20"/>
              </w:rPr>
              <w:t>UNCT</w:t>
            </w:r>
          </w:p>
        </w:tc>
        <w:tc>
          <w:tcPr>
            <w:tcW w:w="8447" w:type="dxa"/>
          </w:tcPr>
          <w:p w14:paraId="28E3D89B" w14:textId="77777777" w:rsidR="004002DA" w:rsidRPr="0066181A" w:rsidRDefault="004002DA" w:rsidP="006F767C">
            <w:pPr>
              <w:spacing w:before="60" w:after="60" w:line="240" w:lineRule="auto"/>
              <w:rPr>
                <w:rFonts w:eastAsia="Arial" w:cs="Arial"/>
                <w:sz w:val="20"/>
              </w:rPr>
            </w:pPr>
            <w:r w:rsidRPr="0066181A">
              <w:rPr>
                <w:rFonts w:eastAsia="Arial" w:cs="Arial"/>
                <w:sz w:val="20"/>
              </w:rPr>
              <w:t>United Nations Country Team</w:t>
            </w:r>
          </w:p>
        </w:tc>
      </w:tr>
      <w:tr w:rsidR="004002DA" w:rsidRPr="006F767C" w14:paraId="3F927C95" w14:textId="77777777" w:rsidTr="004002DA">
        <w:tc>
          <w:tcPr>
            <w:tcW w:w="1155" w:type="dxa"/>
          </w:tcPr>
          <w:p w14:paraId="4ADBA6FA" w14:textId="77777777" w:rsidR="004002DA" w:rsidRPr="0066181A" w:rsidRDefault="004002DA" w:rsidP="006F767C">
            <w:pPr>
              <w:spacing w:before="60" w:after="60" w:line="240" w:lineRule="auto"/>
              <w:rPr>
                <w:rFonts w:eastAsia="Arial" w:cs="Arial"/>
                <w:sz w:val="20"/>
              </w:rPr>
            </w:pPr>
            <w:r w:rsidRPr="0066181A">
              <w:rPr>
                <w:rFonts w:eastAsia="Arial" w:cs="Arial"/>
                <w:sz w:val="20"/>
              </w:rPr>
              <w:t>UNDAF</w:t>
            </w:r>
          </w:p>
        </w:tc>
        <w:tc>
          <w:tcPr>
            <w:tcW w:w="8447" w:type="dxa"/>
          </w:tcPr>
          <w:p w14:paraId="67A1A70D" w14:textId="77777777" w:rsidR="004002DA" w:rsidRPr="0066181A" w:rsidRDefault="004002DA" w:rsidP="006F767C">
            <w:pPr>
              <w:spacing w:before="60" w:after="60" w:line="240" w:lineRule="auto"/>
              <w:rPr>
                <w:rFonts w:eastAsia="Arial" w:cs="Arial"/>
                <w:sz w:val="20"/>
                <w:lang w:val="en-US"/>
              </w:rPr>
            </w:pPr>
            <w:r w:rsidRPr="0066181A">
              <w:rPr>
                <w:rFonts w:eastAsia="Arial" w:cs="Arial"/>
                <w:sz w:val="20"/>
                <w:lang w:val="en-US"/>
              </w:rPr>
              <w:t>United Nations Development Assistance Framework</w:t>
            </w:r>
          </w:p>
        </w:tc>
      </w:tr>
      <w:tr w:rsidR="004002DA" w:rsidRPr="0041504B" w14:paraId="2A1B0F00" w14:textId="77777777" w:rsidTr="004002DA">
        <w:tc>
          <w:tcPr>
            <w:tcW w:w="1155" w:type="dxa"/>
          </w:tcPr>
          <w:p w14:paraId="71C23851" w14:textId="77777777" w:rsidR="004002DA" w:rsidRPr="0066181A" w:rsidRDefault="004002DA" w:rsidP="006F767C">
            <w:pPr>
              <w:spacing w:before="60" w:after="60" w:line="240" w:lineRule="auto"/>
              <w:rPr>
                <w:rFonts w:eastAsia="Arial" w:cs="Arial"/>
                <w:sz w:val="20"/>
              </w:rPr>
            </w:pPr>
            <w:r w:rsidRPr="0066181A">
              <w:rPr>
                <w:rFonts w:eastAsia="Arial" w:cs="Arial"/>
                <w:sz w:val="20"/>
              </w:rPr>
              <w:t>UNDP</w:t>
            </w:r>
          </w:p>
        </w:tc>
        <w:tc>
          <w:tcPr>
            <w:tcW w:w="8447" w:type="dxa"/>
          </w:tcPr>
          <w:p w14:paraId="42F7739C" w14:textId="77777777" w:rsidR="004002DA" w:rsidRPr="0066181A" w:rsidRDefault="004002DA" w:rsidP="006F767C">
            <w:pPr>
              <w:spacing w:before="60" w:after="60" w:line="240" w:lineRule="auto"/>
              <w:rPr>
                <w:rFonts w:eastAsia="Arial" w:cs="Arial"/>
                <w:sz w:val="20"/>
              </w:rPr>
            </w:pPr>
            <w:r w:rsidRPr="0066181A">
              <w:rPr>
                <w:rFonts w:eastAsia="Arial" w:cs="Arial"/>
                <w:sz w:val="20"/>
              </w:rPr>
              <w:t>United Nations Development Programme</w:t>
            </w:r>
          </w:p>
        </w:tc>
      </w:tr>
    </w:tbl>
    <w:p w14:paraId="6B1B38FB" w14:textId="77777777" w:rsidR="004002DA" w:rsidRDefault="004002DA" w:rsidP="004002DA">
      <w:pPr>
        <w:rPr>
          <w:rFonts w:asciiTheme="minorBidi" w:eastAsia="Calibri" w:hAnsiTheme="minorBidi" w:cstheme="minorBidi"/>
          <w:color w:val="881798"/>
          <w:sz w:val="19"/>
          <w:szCs w:val="19"/>
          <w:u w:val="single"/>
        </w:rPr>
      </w:pPr>
    </w:p>
    <w:p w14:paraId="0E65E80D" w14:textId="77777777" w:rsidR="006F767C" w:rsidRDefault="006F767C" w:rsidP="004002DA">
      <w:pPr>
        <w:rPr>
          <w:rFonts w:asciiTheme="minorBidi" w:eastAsia="Calibri" w:hAnsiTheme="minorBidi" w:cstheme="minorBidi"/>
          <w:color w:val="881798"/>
          <w:sz w:val="19"/>
          <w:szCs w:val="19"/>
          <w:u w:val="single"/>
        </w:rPr>
      </w:pPr>
    </w:p>
    <w:p w14:paraId="7683FFBB" w14:textId="77777777" w:rsidR="006F767C" w:rsidRPr="0041504B" w:rsidRDefault="006F767C" w:rsidP="004002DA">
      <w:pPr>
        <w:rPr>
          <w:rFonts w:asciiTheme="minorBidi" w:eastAsia="Calibri" w:hAnsiTheme="minorBidi" w:cstheme="minorBidi"/>
          <w:color w:val="881798"/>
          <w:sz w:val="19"/>
          <w:szCs w:val="19"/>
          <w:u w:val="single"/>
        </w:rPr>
      </w:pPr>
    </w:p>
    <w:p w14:paraId="40F68DF0" w14:textId="77777777" w:rsidR="004002DA" w:rsidRPr="0066181A" w:rsidRDefault="004002DA" w:rsidP="004002DA">
      <w:pPr>
        <w:pStyle w:val="TOCHeading"/>
        <w:rPr>
          <w:rFonts w:ascii="Arial" w:hAnsi="Arial" w:cs="Arial"/>
          <w:sz w:val="20"/>
          <w:szCs w:val="20"/>
          <w:lang w:val="de-DE"/>
        </w:rPr>
      </w:pPr>
      <w:bookmarkStart w:id="1" w:name="_Toc22304423"/>
      <w:bookmarkStart w:id="2" w:name="_Toc22540831"/>
      <w:bookmarkStart w:id="3" w:name="_Toc22541347"/>
      <w:r w:rsidRPr="0066181A">
        <w:rPr>
          <w:rFonts w:ascii="Arial" w:hAnsi="Arial" w:cs="Arial"/>
          <w:sz w:val="20"/>
          <w:szCs w:val="20"/>
          <w:lang w:val="de-DE"/>
        </w:rPr>
        <w:lastRenderedPageBreak/>
        <w:t xml:space="preserve">List of Tables </w:t>
      </w:r>
    </w:p>
    <w:p w14:paraId="4DB00455" w14:textId="77777777" w:rsidR="004002DA" w:rsidRPr="0066181A" w:rsidRDefault="004002DA" w:rsidP="004002DA">
      <w:pPr>
        <w:pStyle w:val="TableofFigures"/>
        <w:tabs>
          <w:tab w:val="right" w:leader="dot" w:pos="9592"/>
        </w:tabs>
        <w:spacing w:before="120" w:after="120"/>
        <w:rPr>
          <w:rFonts w:eastAsiaTheme="minorEastAsia" w:cs="Arial"/>
          <w:noProof/>
          <w:sz w:val="20"/>
          <w:szCs w:val="20"/>
          <w:lang w:val="en-US"/>
        </w:rPr>
      </w:pPr>
      <w:r w:rsidRPr="0066181A">
        <w:rPr>
          <w:rFonts w:cs="Arial"/>
          <w:color w:val="2B579A"/>
          <w:sz w:val="20"/>
          <w:szCs w:val="20"/>
          <w:shd w:val="clear" w:color="auto" w:fill="E6E6E6"/>
        </w:rPr>
        <w:fldChar w:fldCharType="begin"/>
      </w:r>
      <w:r w:rsidRPr="0066181A">
        <w:rPr>
          <w:rFonts w:cs="Arial"/>
          <w:sz w:val="20"/>
          <w:szCs w:val="20"/>
        </w:rPr>
        <w:instrText xml:space="preserve"> TOC \h \z \c "Table" </w:instrText>
      </w:r>
      <w:r w:rsidRPr="0066181A">
        <w:rPr>
          <w:rFonts w:cs="Arial"/>
          <w:color w:val="2B579A"/>
          <w:sz w:val="20"/>
          <w:szCs w:val="20"/>
          <w:shd w:val="clear" w:color="auto" w:fill="E6E6E6"/>
        </w:rPr>
        <w:fldChar w:fldCharType="separate"/>
      </w:r>
      <w:hyperlink w:anchor="_Toc40980608" w:history="1">
        <w:r w:rsidRPr="0066181A">
          <w:rPr>
            <w:rStyle w:val="Hyperlink"/>
            <w:rFonts w:cs="Arial"/>
            <w:noProof/>
            <w:sz w:val="20"/>
            <w:szCs w:val="20"/>
          </w:rPr>
          <w:t>Table 1: Secondary effects related to the implementation modality of the programme</w:t>
        </w:r>
        <w:r w:rsidRPr="0066181A">
          <w:rPr>
            <w:rFonts w:cs="Arial"/>
            <w:noProof/>
            <w:webHidden/>
            <w:sz w:val="20"/>
            <w:szCs w:val="20"/>
          </w:rPr>
          <w:tab/>
        </w:r>
        <w:r w:rsidRPr="0066181A">
          <w:rPr>
            <w:rFonts w:cs="Arial"/>
            <w:noProof/>
            <w:webHidden/>
            <w:sz w:val="20"/>
            <w:szCs w:val="20"/>
          </w:rPr>
          <w:fldChar w:fldCharType="begin"/>
        </w:r>
        <w:r w:rsidRPr="0066181A">
          <w:rPr>
            <w:rFonts w:cs="Arial"/>
            <w:noProof/>
            <w:webHidden/>
            <w:sz w:val="20"/>
            <w:szCs w:val="20"/>
          </w:rPr>
          <w:instrText xml:space="preserve"> PAGEREF _Toc40980608 \h </w:instrText>
        </w:r>
        <w:r w:rsidRPr="0066181A">
          <w:rPr>
            <w:rFonts w:cs="Arial"/>
            <w:noProof/>
            <w:webHidden/>
            <w:sz w:val="20"/>
            <w:szCs w:val="20"/>
          </w:rPr>
        </w:r>
        <w:r w:rsidRPr="0066181A">
          <w:rPr>
            <w:rFonts w:cs="Arial"/>
            <w:noProof/>
            <w:webHidden/>
            <w:sz w:val="20"/>
            <w:szCs w:val="20"/>
          </w:rPr>
          <w:fldChar w:fldCharType="separate"/>
        </w:r>
        <w:r w:rsidR="00F12C3C">
          <w:rPr>
            <w:rFonts w:cs="Arial"/>
            <w:noProof/>
            <w:webHidden/>
            <w:sz w:val="20"/>
            <w:szCs w:val="20"/>
          </w:rPr>
          <w:t>12</w:t>
        </w:r>
        <w:r w:rsidRPr="0066181A">
          <w:rPr>
            <w:rFonts w:cs="Arial"/>
            <w:noProof/>
            <w:webHidden/>
            <w:sz w:val="20"/>
            <w:szCs w:val="20"/>
          </w:rPr>
          <w:fldChar w:fldCharType="end"/>
        </w:r>
      </w:hyperlink>
    </w:p>
    <w:p w14:paraId="74A30A0A" w14:textId="77777777" w:rsidR="004002DA" w:rsidRPr="0066181A" w:rsidRDefault="000A4130" w:rsidP="004002DA">
      <w:pPr>
        <w:pStyle w:val="TableofFigures"/>
        <w:tabs>
          <w:tab w:val="right" w:leader="dot" w:pos="9592"/>
        </w:tabs>
        <w:spacing w:before="120" w:after="120"/>
        <w:rPr>
          <w:rFonts w:eastAsiaTheme="minorEastAsia" w:cs="Arial"/>
          <w:noProof/>
          <w:sz w:val="20"/>
          <w:szCs w:val="20"/>
          <w:lang w:val="en-US"/>
        </w:rPr>
      </w:pPr>
      <w:hyperlink w:anchor="_Toc40980609" w:history="1">
        <w:r w:rsidR="004002DA" w:rsidRPr="0066181A">
          <w:rPr>
            <w:rStyle w:val="Hyperlink"/>
            <w:rFonts w:cs="Arial"/>
            <w:noProof/>
            <w:sz w:val="20"/>
            <w:szCs w:val="20"/>
          </w:rPr>
          <w:t>Table 2: Contribution to the SDGs</w:t>
        </w:r>
        <w:r w:rsidR="004002DA" w:rsidRPr="0066181A">
          <w:rPr>
            <w:rFonts w:cs="Arial"/>
            <w:noProof/>
            <w:webHidden/>
            <w:sz w:val="20"/>
            <w:szCs w:val="20"/>
          </w:rPr>
          <w:tab/>
        </w:r>
        <w:r w:rsidR="004002DA" w:rsidRPr="0066181A">
          <w:rPr>
            <w:rFonts w:cs="Arial"/>
            <w:noProof/>
            <w:webHidden/>
            <w:sz w:val="20"/>
            <w:szCs w:val="20"/>
          </w:rPr>
          <w:fldChar w:fldCharType="begin"/>
        </w:r>
        <w:r w:rsidR="004002DA" w:rsidRPr="0066181A">
          <w:rPr>
            <w:rFonts w:cs="Arial"/>
            <w:noProof/>
            <w:webHidden/>
            <w:sz w:val="20"/>
            <w:szCs w:val="20"/>
          </w:rPr>
          <w:instrText xml:space="preserve"> PAGEREF _Toc40980609 \h </w:instrText>
        </w:r>
        <w:r w:rsidR="004002DA" w:rsidRPr="0066181A">
          <w:rPr>
            <w:rFonts w:cs="Arial"/>
            <w:noProof/>
            <w:webHidden/>
            <w:sz w:val="20"/>
            <w:szCs w:val="20"/>
          </w:rPr>
        </w:r>
        <w:r w:rsidR="004002DA" w:rsidRPr="0066181A">
          <w:rPr>
            <w:rFonts w:cs="Arial"/>
            <w:noProof/>
            <w:webHidden/>
            <w:sz w:val="20"/>
            <w:szCs w:val="20"/>
          </w:rPr>
          <w:fldChar w:fldCharType="separate"/>
        </w:r>
        <w:r w:rsidR="00F12C3C">
          <w:rPr>
            <w:rFonts w:cs="Arial"/>
            <w:noProof/>
            <w:webHidden/>
            <w:sz w:val="20"/>
            <w:szCs w:val="20"/>
          </w:rPr>
          <w:t>13</w:t>
        </w:r>
        <w:r w:rsidR="004002DA" w:rsidRPr="0066181A">
          <w:rPr>
            <w:rFonts w:cs="Arial"/>
            <w:noProof/>
            <w:webHidden/>
            <w:sz w:val="20"/>
            <w:szCs w:val="20"/>
          </w:rPr>
          <w:fldChar w:fldCharType="end"/>
        </w:r>
      </w:hyperlink>
    </w:p>
    <w:p w14:paraId="2DC527AE" w14:textId="77777777" w:rsidR="004002DA" w:rsidRPr="0066181A" w:rsidRDefault="000A4130" w:rsidP="004002DA">
      <w:pPr>
        <w:pStyle w:val="TableofFigures"/>
        <w:tabs>
          <w:tab w:val="right" w:leader="dot" w:pos="9592"/>
        </w:tabs>
        <w:spacing w:before="120" w:after="120"/>
        <w:rPr>
          <w:rFonts w:eastAsiaTheme="minorEastAsia" w:cs="Arial"/>
          <w:noProof/>
          <w:sz w:val="20"/>
          <w:szCs w:val="20"/>
          <w:lang w:val="en-US"/>
        </w:rPr>
      </w:pPr>
      <w:hyperlink w:anchor="_Toc40980610" w:history="1">
        <w:r w:rsidR="004002DA" w:rsidRPr="0066181A">
          <w:rPr>
            <w:rStyle w:val="Hyperlink"/>
            <w:rFonts w:cs="Arial"/>
            <w:noProof/>
            <w:sz w:val="20"/>
            <w:szCs w:val="20"/>
          </w:rPr>
          <w:t>Table 3: Direct and Indirect Beneficiaries</w:t>
        </w:r>
        <w:r w:rsidR="004002DA" w:rsidRPr="0066181A">
          <w:rPr>
            <w:rFonts w:cs="Arial"/>
            <w:noProof/>
            <w:webHidden/>
            <w:sz w:val="20"/>
            <w:szCs w:val="20"/>
          </w:rPr>
          <w:tab/>
        </w:r>
        <w:r w:rsidR="004002DA" w:rsidRPr="0066181A">
          <w:rPr>
            <w:rFonts w:cs="Arial"/>
            <w:noProof/>
            <w:webHidden/>
            <w:sz w:val="20"/>
            <w:szCs w:val="20"/>
          </w:rPr>
          <w:fldChar w:fldCharType="begin"/>
        </w:r>
        <w:r w:rsidR="004002DA" w:rsidRPr="0066181A">
          <w:rPr>
            <w:rFonts w:cs="Arial"/>
            <w:noProof/>
            <w:webHidden/>
            <w:sz w:val="20"/>
            <w:szCs w:val="20"/>
          </w:rPr>
          <w:instrText xml:space="preserve"> PAGEREF _Toc40980610 \h </w:instrText>
        </w:r>
        <w:r w:rsidR="004002DA" w:rsidRPr="0066181A">
          <w:rPr>
            <w:rFonts w:cs="Arial"/>
            <w:noProof/>
            <w:webHidden/>
            <w:sz w:val="20"/>
            <w:szCs w:val="20"/>
          </w:rPr>
        </w:r>
        <w:r w:rsidR="004002DA" w:rsidRPr="0066181A">
          <w:rPr>
            <w:rFonts w:cs="Arial"/>
            <w:noProof/>
            <w:webHidden/>
            <w:sz w:val="20"/>
            <w:szCs w:val="20"/>
          </w:rPr>
          <w:fldChar w:fldCharType="separate"/>
        </w:r>
        <w:r w:rsidR="00F12C3C">
          <w:rPr>
            <w:rFonts w:cs="Arial"/>
            <w:noProof/>
            <w:webHidden/>
            <w:sz w:val="20"/>
            <w:szCs w:val="20"/>
          </w:rPr>
          <w:t>19</w:t>
        </w:r>
        <w:r w:rsidR="004002DA" w:rsidRPr="0066181A">
          <w:rPr>
            <w:rFonts w:cs="Arial"/>
            <w:noProof/>
            <w:webHidden/>
            <w:sz w:val="20"/>
            <w:szCs w:val="20"/>
          </w:rPr>
          <w:fldChar w:fldCharType="end"/>
        </w:r>
      </w:hyperlink>
    </w:p>
    <w:p w14:paraId="7F901666" w14:textId="77777777" w:rsidR="004002DA" w:rsidRPr="0066181A" w:rsidRDefault="000A4130" w:rsidP="004002DA">
      <w:pPr>
        <w:pStyle w:val="TableofFigures"/>
        <w:tabs>
          <w:tab w:val="right" w:leader="dot" w:pos="9592"/>
        </w:tabs>
        <w:spacing w:before="120" w:after="120"/>
        <w:rPr>
          <w:rFonts w:eastAsiaTheme="minorEastAsia" w:cs="Arial"/>
          <w:noProof/>
          <w:sz w:val="20"/>
          <w:szCs w:val="20"/>
          <w:lang w:val="en-US"/>
        </w:rPr>
      </w:pPr>
      <w:hyperlink w:anchor="_Toc40980611" w:history="1">
        <w:r w:rsidR="004002DA" w:rsidRPr="0066181A">
          <w:rPr>
            <w:rStyle w:val="Hyperlink"/>
            <w:rFonts w:cs="Arial"/>
            <w:noProof/>
            <w:sz w:val="20"/>
            <w:szCs w:val="20"/>
          </w:rPr>
          <w:t>Table 4: Resources Required to Achieve the Expected Results</w:t>
        </w:r>
        <w:r w:rsidR="004002DA" w:rsidRPr="0066181A">
          <w:rPr>
            <w:rFonts w:cs="Arial"/>
            <w:noProof/>
            <w:webHidden/>
            <w:sz w:val="20"/>
            <w:szCs w:val="20"/>
          </w:rPr>
          <w:tab/>
        </w:r>
        <w:r w:rsidR="004002DA" w:rsidRPr="0066181A">
          <w:rPr>
            <w:rFonts w:cs="Arial"/>
            <w:noProof/>
            <w:webHidden/>
            <w:sz w:val="20"/>
            <w:szCs w:val="20"/>
          </w:rPr>
          <w:fldChar w:fldCharType="begin"/>
        </w:r>
        <w:r w:rsidR="004002DA" w:rsidRPr="0066181A">
          <w:rPr>
            <w:rFonts w:cs="Arial"/>
            <w:noProof/>
            <w:webHidden/>
            <w:sz w:val="20"/>
            <w:szCs w:val="20"/>
          </w:rPr>
          <w:instrText xml:space="preserve"> PAGEREF _Toc40980611 \h </w:instrText>
        </w:r>
        <w:r w:rsidR="004002DA" w:rsidRPr="0066181A">
          <w:rPr>
            <w:rFonts w:cs="Arial"/>
            <w:noProof/>
            <w:webHidden/>
            <w:sz w:val="20"/>
            <w:szCs w:val="20"/>
          </w:rPr>
        </w:r>
        <w:r w:rsidR="004002DA" w:rsidRPr="0066181A">
          <w:rPr>
            <w:rFonts w:cs="Arial"/>
            <w:noProof/>
            <w:webHidden/>
            <w:sz w:val="20"/>
            <w:szCs w:val="20"/>
          </w:rPr>
          <w:fldChar w:fldCharType="separate"/>
        </w:r>
        <w:r w:rsidR="00F12C3C">
          <w:rPr>
            <w:rFonts w:cs="Arial"/>
            <w:noProof/>
            <w:webHidden/>
            <w:sz w:val="20"/>
            <w:szCs w:val="20"/>
          </w:rPr>
          <w:t>21</w:t>
        </w:r>
        <w:r w:rsidR="004002DA" w:rsidRPr="0066181A">
          <w:rPr>
            <w:rFonts w:cs="Arial"/>
            <w:noProof/>
            <w:webHidden/>
            <w:sz w:val="20"/>
            <w:szCs w:val="20"/>
          </w:rPr>
          <w:fldChar w:fldCharType="end"/>
        </w:r>
      </w:hyperlink>
    </w:p>
    <w:p w14:paraId="55B83F3D" w14:textId="77777777" w:rsidR="004002DA" w:rsidRPr="0066181A" w:rsidRDefault="000A4130" w:rsidP="004002DA">
      <w:pPr>
        <w:pStyle w:val="TableofFigures"/>
        <w:tabs>
          <w:tab w:val="right" w:leader="dot" w:pos="9592"/>
        </w:tabs>
        <w:spacing w:before="120" w:after="120"/>
        <w:rPr>
          <w:rFonts w:eastAsiaTheme="minorEastAsia" w:cs="Arial"/>
          <w:noProof/>
          <w:sz w:val="20"/>
          <w:szCs w:val="20"/>
          <w:lang w:val="en-US"/>
        </w:rPr>
      </w:pPr>
      <w:hyperlink w:anchor="_Toc40980612" w:history="1">
        <w:r w:rsidR="004002DA" w:rsidRPr="0066181A">
          <w:rPr>
            <w:rStyle w:val="Hyperlink"/>
            <w:rFonts w:cs="Arial"/>
            <w:noProof/>
            <w:sz w:val="20"/>
            <w:szCs w:val="20"/>
          </w:rPr>
          <w:t>Table 5: Coverage rate country programme</w:t>
        </w:r>
        <w:r w:rsidR="004002DA" w:rsidRPr="0066181A">
          <w:rPr>
            <w:rFonts w:cs="Arial"/>
            <w:noProof/>
            <w:webHidden/>
            <w:sz w:val="20"/>
            <w:szCs w:val="20"/>
          </w:rPr>
          <w:tab/>
        </w:r>
        <w:r w:rsidR="004002DA" w:rsidRPr="0066181A">
          <w:rPr>
            <w:rFonts w:cs="Arial"/>
            <w:noProof/>
            <w:webHidden/>
            <w:sz w:val="20"/>
            <w:szCs w:val="20"/>
          </w:rPr>
          <w:fldChar w:fldCharType="begin"/>
        </w:r>
        <w:r w:rsidR="004002DA" w:rsidRPr="0066181A">
          <w:rPr>
            <w:rFonts w:cs="Arial"/>
            <w:noProof/>
            <w:webHidden/>
            <w:sz w:val="20"/>
            <w:szCs w:val="20"/>
          </w:rPr>
          <w:instrText xml:space="preserve"> PAGEREF _Toc40980612 \h </w:instrText>
        </w:r>
        <w:r w:rsidR="004002DA" w:rsidRPr="0066181A">
          <w:rPr>
            <w:rFonts w:cs="Arial"/>
            <w:noProof/>
            <w:webHidden/>
            <w:sz w:val="20"/>
            <w:szCs w:val="20"/>
          </w:rPr>
        </w:r>
        <w:r w:rsidR="004002DA" w:rsidRPr="0066181A">
          <w:rPr>
            <w:rFonts w:cs="Arial"/>
            <w:noProof/>
            <w:webHidden/>
            <w:sz w:val="20"/>
            <w:szCs w:val="20"/>
          </w:rPr>
          <w:fldChar w:fldCharType="separate"/>
        </w:r>
        <w:r w:rsidR="00F12C3C">
          <w:rPr>
            <w:rFonts w:cs="Arial"/>
            <w:noProof/>
            <w:webHidden/>
            <w:sz w:val="20"/>
            <w:szCs w:val="20"/>
          </w:rPr>
          <w:t>21</w:t>
        </w:r>
        <w:r w:rsidR="004002DA" w:rsidRPr="0066181A">
          <w:rPr>
            <w:rFonts w:cs="Arial"/>
            <w:noProof/>
            <w:webHidden/>
            <w:sz w:val="20"/>
            <w:szCs w:val="20"/>
          </w:rPr>
          <w:fldChar w:fldCharType="end"/>
        </w:r>
      </w:hyperlink>
    </w:p>
    <w:p w14:paraId="185EEE7D" w14:textId="77777777" w:rsidR="004002DA" w:rsidRPr="0066181A" w:rsidRDefault="000A4130" w:rsidP="004002DA">
      <w:pPr>
        <w:pStyle w:val="TableofFigures"/>
        <w:tabs>
          <w:tab w:val="right" w:leader="dot" w:pos="9592"/>
        </w:tabs>
        <w:spacing w:before="120" w:after="120"/>
        <w:rPr>
          <w:rFonts w:eastAsiaTheme="minorEastAsia" w:cs="Arial"/>
          <w:noProof/>
          <w:sz w:val="20"/>
          <w:szCs w:val="20"/>
          <w:lang w:val="en-US"/>
        </w:rPr>
      </w:pPr>
      <w:hyperlink w:anchor="_Toc40980613" w:history="1">
        <w:r w:rsidR="004002DA" w:rsidRPr="0066181A">
          <w:rPr>
            <w:rStyle w:val="Hyperlink"/>
            <w:rFonts w:cs="Arial"/>
            <w:noProof/>
            <w:sz w:val="20"/>
            <w:szCs w:val="20"/>
          </w:rPr>
          <w:t>Table 6: Risks and mitigation strategy</w:t>
        </w:r>
        <w:r w:rsidR="004002DA" w:rsidRPr="0066181A">
          <w:rPr>
            <w:rFonts w:cs="Arial"/>
            <w:noProof/>
            <w:webHidden/>
            <w:sz w:val="20"/>
            <w:szCs w:val="20"/>
          </w:rPr>
          <w:tab/>
        </w:r>
        <w:r w:rsidR="004002DA" w:rsidRPr="0066181A">
          <w:rPr>
            <w:rFonts w:cs="Arial"/>
            <w:noProof/>
            <w:webHidden/>
            <w:sz w:val="20"/>
            <w:szCs w:val="20"/>
          </w:rPr>
          <w:fldChar w:fldCharType="begin"/>
        </w:r>
        <w:r w:rsidR="004002DA" w:rsidRPr="0066181A">
          <w:rPr>
            <w:rFonts w:cs="Arial"/>
            <w:noProof/>
            <w:webHidden/>
            <w:sz w:val="20"/>
            <w:szCs w:val="20"/>
          </w:rPr>
          <w:instrText xml:space="preserve"> PAGEREF _Toc40980613 \h </w:instrText>
        </w:r>
        <w:r w:rsidR="004002DA" w:rsidRPr="0066181A">
          <w:rPr>
            <w:rFonts w:cs="Arial"/>
            <w:noProof/>
            <w:webHidden/>
            <w:sz w:val="20"/>
            <w:szCs w:val="20"/>
          </w:rPr>
        </w:r>
        <w:r w:rsidR="004002DA" w:rsidRPr="0066181A">
          <w:rPr>
            <w:rFonts w:cs="Arial"/>
            <w:noProof/>
            <w:webHidden/>
            <w:sz w:val="20"/>
            <w:szCs w:val="20"/>
          </w:rPr>
          <w:fldChar w:fldCharType="separate"/>
        </w:r>
        <w:r w:rsidR="00F12C3C">
          <w:rPr>
            <w:rFonts w:cs="Arial"/>
            <w:noProof/>
            <w:webHidden/>
            <w:sz w:val="20"/>
            <w:szCs w:val="20"/>
          </w:rPr>
          <w:t>25</w:t>
        </w:r>
        <w:r w:rsidR="004002DA" w:rsidRPr="0066181A">
          <w:rPr>
            <w:rFonts w:cs="Arial"/>
            <w:noProof/>
            <w:webHidden/>
            <w:sz w:val="20"/>
            <w:szCs w:val="20"/>
          </w:rPr>
          <w:fldChar w:fldCharType="end"/>
        </w:r>
      </w:hyperlink>
    </w:p>
    <w:p w14:paraId="0CEFF766" w14:textId="77777777" w:rsidR="004002DA" w:rsidRPr="0066181A" w:rsidRDefault="000A4130" w:rsidP="004002DA">
      <w:pPr>
        <w:pStyle w:val="TableofFigures"/>
        <w:tabs>
          <w:tab w:val="right" w:leader="dot" w:pos="9592"/>
        </w:tabs>
        <w:spacing w:before="120" w:after="120"/>
        <w:rPr>
          <w:rFonts w:eastAsiaTheme="minorEastAsia" w:cs="Arial"/>
          <w:noProof/>
          <w:sz w:val="20"/>
          <w:szCs w:val="20"/>
          <w:lang w:val="en-US"/>
        </w:rPr>
      </w:pPr>
      <w:hyperlink w:anchor="_Toc40980614" w:history="1">
        <w:r w:rsidR="004002DA" w:rsidRPr="0066181A">
          <w:rPr>
            <w:rStyle w:val="Hyperlink"/>
            <w:rFonts w:cs="Arial"/>
            <w:noProof/>
            <w:sz w:val="20"/>
            <w:szCs w:val="20"/>
          </w:rPr>
          <w:t>Table 7: Visibility Plan</w:t>
        </w:r>
        <w:r w:rsidR="004002DA" w:rsidRPr="0066181A">
          <w:rPr>
            <w:rFonts w:cs="Arial"/>
            <w:noProof/>
            <w:webHidden/>
            <w:sz w:val="20"/>
            <w:szCs w:val="20"/>
          </w:rPr>
          <w:tab/>
        </w:r>
        <w:r w:rsidR="004002DA" w:rsidRPr="0066181A">
          <w:rPr>
            <w:rFonts w:cs="Arial"/>
            <w:noProof/>
            <w:webHidden/>
            <w:sz w:val="20"/>
            <w:szCs w:val="20"/>
          </w:rPr>
          <w:fldChar w:fldCharType="begin"/>
        </w:r>
        <w:r w:rsidR="004002DA" w:rsidRPr="0066181A">
          <w:rPr>
            <w:rFonts w:cs="Arial"/>
            <w:noProof/>
            <w:webHidden/>
            <w:sz w:val="20"/>
            <w:szCs w:val="20"/>
          </w:rPr>
          <w:instrText xml:space="preserve"> PAGEREF _Toc40980614 \h </w:instrText>
        </w:r>
        <w:r w:rsidR="004002DA" w:rsidRPr="0066181A">
          <w:rPr>
            <w:rFonts w:cs="Arial"/>
            <w:noProof/>
            <w:webHidden/>
            <w:sz w:val="20"/>
            <w:szCs w:val="20"/>
          </w:rPr>
        </w:r>
        <w:r w:rsidR="004002DA" w:rsidRPr="0066181A">
          <w:rPr>
            <w:rFonts w:cs="Arial"/>
            <w:noProof/>
            <w:webHidden/>
            <w:sz w:val="20"/>
            <w:szCs w:val="20"/>
          </w:rPr>
          <w:fldChar w:fldCharType="separate"/>
        </w:r>
        <w:r w:rsidR="00F12C3C">
          <w:rPr>
            <w:rFonts w:cs="Arial"/>
            <w:noProof/>
            <w:webHidden/>
            <w:sz w:val="20"/>
            <w:szCs w:val="20"/>
          </w:rPr>
          <w:t>33</w:t>
        </w:r>
        <w:r w:rsidR="004002DA" w:rsidRPr="0066181A">
          <w:rPr>
            <w:rFonts w:cs="Arial"/>
            <w:noProof/>
            <w:webHidden/>
            <w:sz w:val="20"/>
            <w:szCs w:val="20"/>
          </w:rPr>
          <w:fldChar w:fldCharType="end"/>
        </w:r>
      </w:hyperlink>
    </w:p>
    <w:p w14:paraId="6CF2AA31" w14:textId="77777777" w:rsidR="004002DA" w:rsidRPr="0066181A" w:rsidRDefault="000A4130" w:rsidP="004002DA">
      <w:pPr>
        <w:pStyle w:val="TableofFigures"/>
        <w:tabs>
          <w:tab w:val="right" w:leader="dot" w:pos="9592"/>
        </w:tabs>
        <w:spacing w:before="120" w:after="120"/>
        <w:rPr>
          <w:rFonts w:eastAsiaTheme="minorEastAsia" w:cs="Arial"/>
          <w:noProof/>
          <w:sz w:val="20"/>
          <w:szCs w:val="20"/>
          <w:lang w:val="en-US"/>
        </w:rPr>
      </w:pPr>
      <w:hyperlink w:anchor="_Toc40980615" w:history="1">
        <w:r w:rsidR="004002DA" w:rsidRPr="0066181A">
          <w:rPr>
            <w:rStyle w:val="Hyperlink"/>
            <w:rFonts w:cs="Arial"/>
            <w:noProof/>
            <w:sz w:val="20"/>
            <w:szCs w:val="20"/>
          </w:rPr>
          <w:t>Table 8: Evaluation Plan</w:t>
        </w:r>
        <w:r w:rsidR="004002DA" w:rsidRPr="0066181A">
          <w:rPr>
            <w:rFonts w:cs="Arial"/>
            <w:noProof/>
            <w:webHidden/>
            <w:sz w:val="20"/>
            <w:szCs w:val="20"/>
          </w:rPr>
          <w:tab/>
        </w:r>
        <w:r w:rsidR="004002DA" w:rsidRPr="0066181A">
          <w:rPr>
            <w:rFonts w:cs="Arial"/>
            <w:noProof/>
            <w:webHidden/>
            <w:sz w:val="20"/>
            <w:szCs w:val="20"/>
          </w:rPr>
          <w:fldChar w:fldCharType="begin"/>
        </w:r>
        <w:r w:rsidR="004002DA" w:rsidRPr="0066181A">
          <w:rPr>
            <w:rFonts w:cs="Arial"/>
            <w:noProof/>
            <w:webHidden/>
            <w:sz w:val="20"/>
            <w:szCs w:val="20"/>
          </w:rPr>
          <w:instrText xml:space="preserve"> PAGEREF _Toc40980615 \h </w:instrText>
        </w:r>
        <w:r w:rsidR="004002DA" w:rsidRPr="0066181A">
          <w:rPr>
            <w:rFonts w:cs="Arial"/>
            <w:noProof/>
            <w:webHidden/>
            <w:sz w:val="20"/>
            <w:szCs w:val="20"/>
          </w:rPr>
        </w:r>
        <w:r w:rsidR="004002DA" w:rsidRPr="0066181A">
          <w:rPr>
            <w:rFonts w:cs="Arial"/>
            <w:noProof/>
            <w:webHidden/>
            <w:sz w:val="20"/>
            <w:szCs w:val="20"/>
          </w:rPr>
          <w:fldChar w:fldCharType="separate"/>
        </w:r>
        <w:r w:rsidR="00F12C3C">
          <w:rPr>
            <w:rFonts w:cs="Arial"/>
            <w:noProof/>
            <w:webHidden/>
            <w:sz w:val="20"/>
            <w:szCs w:val="20"/>
          </w:rPr>
          <w:t>35</w:t>
        </w:r>
        <w:r w:rsidR="004002DA" w:rsidRPr="0066181A">
          <w:rPr>
            <w:rFonts w:cs="Arial"/>
            <w:noProof/>
            <w:webHidden/>
            <w:sz w:val="20"/>
            <w:szCs w:val="20"/>
          </w:rPr>
          <w:fldChar w:fldCharType="end"/>
        </w:r>
      </w:hyperlink>
    </w:p>
    <w:p w14:paraId="34780519" w14:textId="77777777" w:rsidR="004002DA" w:rsidRPr="0041504B" w:rsidRDefault="004002DA" w:rsidP="004002DA">
      <w:pPr>
        <w:rPr>
          <w:rFonts w:asciiTheme="minorBidi" w:hAnsiTheme="minorBidi" w:cstheme="minorBidi"/>
          <w:sz w:val="20"/>
        </w:rPr>
      </w:pPr>
      <w:r w:rsidRPr="0066181A">
        <w:rPr>
          <w:rFonts w:cs="Arial"/>
          <w:color w:val="2B579A"/>
          <w:sz w:val="20"/>
          <w:shd w:val="clear" w:color="auto" w:fill="E6E6E6"/>
        </w:rPr>
        <w:fldChar w:fldCharType="end"/>
      </w:r>
    </w:p>
    <w:p w14:paraId="7B686E1D" w14:textId="77777777" w:rsidR="004002DA" w:rsidRPr="0066181A" w:rsidRDefault="004002DA" w:rsidP="004002DA">
      <w:pPr>
        <w:pStyle w:val="Heading1"/>
        <w:keepNext/>
        <w:numPr>
          <w:ilvl w:val="0"/>
          <w:numId w:val="16"/>
        </w:numPr>
        <w:pBdr>
          <w:top w:val="single" w:sz="4" w:space="1" w:color="auto"/>
        </w:pBdr>
        <w:suppressAutoHyphens/>
        <w:spacing w:before="104" w:after="226" w:line="240" w:lineRule="auto"/>
        <w:jc w:val="both"/>
        <w:rPr>
          <w:rFonts w:cs="Arial"/>
          <w:b w:val="0"/>
          <w:sz w:val="20"/>
        </w:rPr>
      </w:pPr>
      <w:r w:rsidRPr="0041504B">
        <w:rPr>
          <w:rFonts w:asciiTheme="minorBidi" w:hAnsiTheme="minorBidi" w:cstheme="minorBidi"/>
          <w:b w:val="0"/>
          <w:sz w:val="20"/>
        </w:rPr>
        <w:br w:type="page"/>
      </w:r>
      <w:bookmarkStart w:id="4" w:name="_Toc48809745"/>
      <w:r w:rsidRPr="0066181A">
        <w:rPr>
          <w:rFonts w:cs="Arial"/>
          <w:sz w:val="20"/>
        </w:rPr>
        <w:lastRenderedPageBreak/>
        <w:t>Executive Summary:</w:t>
      </w:r>
      <w:bookmarkEnd w:id="4"/>
    </w:p>
    <w:p w14:paraId="70554D29" w14:textId="77777777" w:rsidR="004002DA" w:rsidRPr="0066181A" w:rsidRDefault="004002DA" w:rsidP="004002DA">
      <w:pPr>
        <w:spacing w:before="120" w:after="120"/>
        <w:rPr>
          <w:rFonts w:cs="Arial"/>
          <w:sz w:val="20"/>
          <w:lang w:val="en-US"/>
        </w:rPr>
      </w:pPr>
      <w:r w:rsidRPr="0066181A">
        <w:rPr>
          <w:rFonts w:cs="Arial"/>
          <w:sz w:val="20"/>
          <w:lang w:val="en-US"/>
        </w:rPr>
        <w:t xml:space="preserve">The Investment Programme for Resilience (IPR) is a comprehensive, inclusive and integrated response to the needs of the most vulnerable/marginalized communities in Palestine. It is designed based on a sound analysis of the risks and problems posed by the COVID-19 crisis and its immediate implications. It is also based on the analysis of previously existing multisectoral development challenges. </w:t>
      </w:r>
    </w:p>
    <w:p w14:paraId="137E1D33" w14:textId="77777777" w:rsidR="004002DA" w:rsidRPr="0066181A" w:rsidRDefault="004002DA" w:rsidP="004002DA">
      <w:pPr>
        <w:spacing w:before="120" w:after="120"/>
        <w:rPr>
          <w:rFonts w:cs="Arial"/>
          <w:sz w:val="20"/>
          <w:lang w:val="en-US"/>
        </w:rPr>
      </w:pPr>
      <w:r w:rsidRPr="0066181A">
        <w:rPr>
          <w:rFonts w:cs="Arial"/>
          <w:sz w:val="20"/>
          <w:lang w:val="en-US"/>
        </w:rPr>
        <w:t>The Programme aims to reduce development gaps and addressing short term-immediate needs by enhancing the preparedness and response capacity of the health system through (1) provision of procurement of personal protective equipment (PPE) for health workers as well as specialized equipment and supplies, (2) training of health workers and provision of short term job opportunities to skilled and unskilled workers in the West Bank and East Jerusalem, and Gaza, and (3) procurement and placement of medical waste treatment devices and training of health personnel and LGUs staff.</w:t>
      </w:r>
    </w:p>
    <w:p w14:paraId="6832F861" w14:textId="77777777" w:rsidR="004002DA" w:rsidRPr="0066181A" w:rsidRDefault="004002DA" w:rsidP="004002DA">
      <w:pPr>
        <w:spacing w:before="120" w:after="120"/>
        <w:rPr>
          <w:rFonts w:cs="Arial"/>
          <w:sz w:val="20"/>
          <w:lang w:val="en-US"/>
        </w:rPr>
      </w:pPr>
      <w:r w:rsidRPr="0066181A">
        <w:rPr>
          <w:rFonts w:cs="Arial"/>
          <w:sz w:val="20"/>
          <w:lang w:val="en-US"/>
        </w:rPr>
        <w:t>Simultaneously, at the medium to longer term, IPR is seeking to address community needs through investments in community infrastructure and basic services within a strategic approach in addressing key drivers of vulnerabilities. These include poverty, unemployment, weakness of social services, geo-political constraints, absence of policy planning, disparities and new emerging socio-economic implications as a result of the COVID-19 crisis. Selected investments in community social infrastructure are intended to play a pivotal role in reducing disparities, strengthening social cohesion, and enhancing community engagement and ownership (particularly women, youth, and people with disabilities), and also contribute to creating short-term employment opportunities through construction/rehabilitation works and long-term sustainable jobs for the operation and management of the new services provided.</w:t>
      </w:r>
    </w:p>
    <w:p w14:paraId="066F8CB0" w14:textId="77777777" w:rsidR="004002DA" w:rsidRPr="0066181A" w:rsidRDefault="004002DA" w:rsidP="004002DA">
      <w:pPr>
        <w:rPr>
          <w:rFonts w:cs="Arial"/>
          <w:b/>
          <w:sz w:val="20"/>
          <w:lang w:val="en-US"/>
        </w:rPr>
      </w:pPr>
    </w:p>
    <w:p w14:paraId="0075018D" w14:textId="77777777" w:rsidR="004002DA" w:rsidRPr="0066181A" w:rsidRDefault="004002DA" w:rsidP="004002DA">
      <w:pPr>
        <w:pStyle w:val="Heading1"/>
        <w:keepNext/>
        <w:numPr>
          <w:ilvl w:val="0"/>
          <w:numId w:val="16"/>
        </w:numPr>
        <w:pBdr>
          <w:top w:val="single" w:sz="4" w:space="1" w:color="auto"/>
        </w:pBdr>
        <w:suppressAutoHyphens/>
        <w:spacing w:before="104" w:after="226" w:line="240" w:lineRule="auto"/>
        <w:jc w:val="both"/>
        <w:rPr>
          <w:rFonts w:eastAsiaTheme="minorBidi" w:cs="Arial"/>
          <w:sz w:val="20"/>
        </w:rPr>
      </w:pPr>
      <w:bookmarkStart w:id="5" w:name="_Toc48809746"/>
      <w:r w:rsidRPr="0066181A">
        <w:rPr>
          <w:rFonts w:cs="Arial"/>
          <w:sz w:val="20"/>
        </w:rPr>
        <w:t>Development Challenge</w:t>
      </w:r>
      <w:bookmarkEnd w:id="5"/>
      <w:r w:rsidRPr="0066181A">
        <w:rPr>
          <w:rFonts w:cs="Arial"/>
          <w:sz w:val="20"/>
        </w:rPr>
        <w:t xml:space="preserve"> </w:t>
      </w:r>
      <w:bookmarkEnd w:id="1"/>
      <w:bookmarkEnd w:id="2"/>
      <w:bookmarkEnd w:id="3"/>
    </w:p>
    <w:p w14:paraId="23C927E3" w14:textId="77777777" w:rsidR="004002DA" w:rsidRPr="0066181A" w:rsidRDefault="004002DA" w:rsidP="004002DA">
      <w:pPr>
        <w:spacing w:before="120" w:after="120"/>
        <w:rPr>
          <w:rFonts w:cs="Arial"/>
          <w:sz w:val="20"/>
          <w:lang w:val="en-US"/>
        </w:rPr>
      </w:pPr>
      <w:r w:rsidRPr="0066181A">
        <w:rPr>
          <w:rFonts w:cs="Arial"/>
          <w:sz w:val="20"/>
          <w:lang w:val="en-US"/>
        </w:rPr>
        <w:t>1. The Palestinian economy already suffers from restricted access to national resources, geographic fragmentation, and severe constraints</w:t>
      </w:r>
      <w:r w:rsidRPr="0066181A" w:rsidDel="00D75086">
        <w:rPr>
          <w:rFonts w:cs="Arial"/>
          <w:sz w:val="20"/>
          <w:lang w:val="en-US"/>
        </w:rPr>
        <w:t xml:space="preserve"> </w:t>
      </w:r>
      <w:r w:rsidRPr="0066181A">
        <w:rPr>
          <w:rFonts w:cs="Arial"/>
          <w:sz w:val="20"/>
          <w:lang w:val="en-US"/>
        </w:rPr>
        <w:t xml:space="preserve">to movement of people and goods on account of the occupation and the blockade of Gaza. With the ongoing COVID-19 crisis, vulnerabilities are </w:t>
      </w:r>
      <w:proofErr w:type="gramStart"/>
      <w:r w:rsidRPr="0066181A">
        <w:rPr>
          <w:rFonts w:cs="Arial"/>
          <w:sz w:val="20"/>
          <w:lang w:val="en-US"/>
        </w:rPr>
        <w:t>deepening</w:t>
      </w:r>
      <w:proofErr w:type="gramEnd"/>
      <w:r w:rsidRPr="0066181A">
        <w:rPr>
          <w:rFonts w:cs="Arial"/>
          <w:sz w:val="20"/>
          <w:lang w:val="en-US"/>
        </w:rPr>
        <w:t xml:space="preserve"> and the potential long-term impact is dire for Palestinians, particularly for those below the poverty line, living in rural areas, working as </w:t>
      </w:r>
      <w:proofErr w:type="spellStart"/>
      <w:r w:rsidRPr="0066181A">
        <w:rPr>
          <w:rFonts w:cs="Arial"/>
          <w:sz w:val="20"/>
          <w:lang w:val="en-US"/>
        </w:rPr>
        <w:t>labourers</w:t>
      </w:r>
      <w:proofErr w:type="spellEnd"/>
      <w:r w:rsidRPr="0066181A">
        <w:rPr>
          <w:rFonts w:cs="Arial"/>
          <w:sz w:val="20"/>
          <w:lang w:val="en-US"/>
        </w:rPr>
        <w:t xml:space="preserve"> in Israel and employed in the services and wholesale/retail sectors. </w:t>
      </w:r>
    </w:p>
    <w:p w14:paraId="770BE2A4" w14:textId="77777777" w:rsidR="004002DA" w:rsidRPr="0066181A" w:rsidRDefault="004002DA" w:rsidP="004002DA">
      <w:pPr>
        <w:spacing w:before="120" w:after="120"/>
        <w:rPr>
          <w:rFonts w:cs="Arial"/>
          <w:sz w:val="20"/>
          <w:lang w:val="en-US"/>
        </w:rPr>
      </w:pPr>
      <w:r w:rsidRPr="0066181A">
        <w:rPr>
          <w:rFonts w:cs="Arial"/>
          <w:sz w:val="20"/>
          <w:lang w:val="en-US"/>
        </w:rPr>
        <w:t xml:space="preserve">2.  Estimates indicate that a one-month closure (now approaching two months) could decrease the Palestinian Territory’s GDP by US$ 576 million in 2020. Up to 90% of businesses employ less than five people. Wholesale, retail and services contribute to nearly 40% of the Palestinian Territory’s GDP, where the current lockdown and closure of businesses will have a serious impact on small businesses and wage employees.  Youth and women will be disproportionately affected, as female </w:t>
      </w:r>
      <w:proofErr w:type="spellStart"/>
      <w:r w:rsidRPr="0066181A">
        <w:rPr>
          <w:rFonts w:cs="Arial"/>
          <w:sz w:val="20"/>
          <w:lang w:val="en-US"/>
        </w:rPr>
        <w:t>labour</w:t>
      </w:r>
      <w:proofErr w:type="spellEnd"/>
      <w:r w:rsidRPr="0066181A">
        <w:rPr>
          <w:rFonts w:cs="Arial"/>
          <w:sz w:val="20"/>
          <w:lang w:val="en-US"/>
        </w:rPr>
        <w:t xml:space="preserve"> force participation is already low (18%) and youth unemployment is very high (45%). Moreover, Palestinian women earn on average 25% less per day than their male counterparts. With nearly 30% of the population living in poverty (53% in Gaza and 14% in the West Bank), families are already facing the negative economic effects of the lockdown through loss of work (particularly for those working in Israel) and higher living </w:t>
      </w:r>
      <w:r w:rsidRPr="0066181A">
        <w:rPr>
          <w:rFonts w:cs="Arial"/>
          <w:sz w:val="20"/>
          <w:lang w:val="en-US"/>
        </w:rPr>
        <w:lastRenderedPageBreak/>
        <w:t>costs, due to the sharp decrease in the value of the Israeli Shekel. Women-headed households, approximately 11% of all Palestinian households, will be disproportionately affected, where 18.6% of people in women-headed households in the West Bank and 54% in Gaza are living in poverty.</w:t>
      </w:r>
    </w:p>
    <w:p w14:paraId="1E02953E" w14:textId="77777777" w:rsidR="004002DA" w:rsidRPr="0066181A" w:rsidRDefault="004002DA" w:rsidP="004002DA">
      <w:pPr>
        <w:spacing w:before="120" w:after="120"/>
        <w:rPr>
          <w:rFonts w:cs="Arial"/>
          <w:sz w:val="20"/>
          <w:lang w:val="en-US"/>
        </w:rPr>
      </w:pPr>
      <w:r w:rsidRPr="0066181A">
        <w:rPr>
          <w:rFonts w:cs="Arial"/>
          <w:sz w:val="20"/>
          <w:lang w:val="en-US"/>
        </w:rPr>
        <w:t>3.  Already experiencing a two-year fiscal crisis due to the Government of Israel’s (</w:t>
      </w:r>
      <w:proofErr w:type="spellStart"/>
      <w:r w:rsidRPr="0066181A">
        <w:rPr>
          <w:rFonts w:cs="Arial"/>
          <w:sz w:val="20"/>
          <w:lang w:val="en-US"/>
        </w:rPr>
        <w:t>GoI</w:t>
      </w:r>
      <w:proofErr w:type="spellEnd"/>
      <w:r w:rsidRPr="0066181A">
        <w:rPr>
          <w:rFonts w:cs="Arial"/>
          <w:sz w:val="20"/>
          <w:lang w:val="en-US"/>
        </w:rPr>
        <w:t xml:space="preserve">) reductions on the transfer of Palestinian Authority (PA) owned revenues, government revenues are expected to decrease by at least 40% on account of the current crisis of COVID-19.  Depending on the extent of such loss, the deficit is expected to increase by around US$1.8-2.4 billion in addition to the current US$0.8 billion. The deteriorating fiscal sustainability of the government will have a serious impact on the ability to ensure social safety networks are sustained, including cash transfers to vulnerable households and the salaries and pensions of government workers, including front-line health workers. More than 70% of households in Gaza and 10% of households in the West Bank depend on cash and in-kind assistance, with 21% of the Palestinian </w:t>
      </w:r>
      <w:proofErr w:type="spellStart"/>
      <w:r w:rsidRPr="0066181A">
        <w:rPr>
          <w:rFonts w:cs="Arial"/>
          <w:sz w:val="20"/>
          <w:lang w:val="en-US"/>
        </w:rPr>
        <w:t>labour</w:t>
      </w:r>
      <w:proofErr w:type="spellEnd"/>
      <w:r w:rsidRPr="0066181A">
        <w:rPr>
          <w:rFonts w:cs="Arial"/>
          <w:sz w:val="20"/>
          <w:lang w:val="en-US"/>
        </w:rPr>
        <w:t xml:space="preserve"> force works in the public sector, including 43% of employed women. </w:t>
      </w:r>
    </w:p>
    <w:p w14:paraId="64243DB8" w14:textId="77777777" w:rsidR="004002DA" w:rsidRPr="0066181A" w:rsidRDefault="004002DA" w:rsidP="004002DA">
      <w:pPr>
        <w:spacing w:before="120" w:after="120"/>
        <w:rPr>
          <w:rFonts w:cs="Arial"/>
          <w:sz w:val="20"/>
          <w:lang w:val="en-US"/>
        </w:rPr>
      </w:pPr>
      <w:r w:rsidRPr="0066181A">
        <w:rPr>
          <w:rFonts w:cs="Arial"/>
          <w:sz w:val="20"/>
          <w:lang w:val="en-US"/>
        </w:rPr>
        <w:t>4.  In short, the negative impact on economic growth will be significant. The World Bank has produced two scenarios (as of 26 March) revising their growth forecasts for 2020. As a direct impact of the COVID-19 outbreak, in the first scenario, should the virus recede and public health restrictions can be eased after two months, Palestinian GDP would contract about 2.5%. In the second scenario, the containment measures can be lifted only after four months, Palestinian GDP contracts about 7% in 2020, a downward negative revision of about 9.5 percentage points. Clearly, the data underpinning these forecasts are changing rapidly, so the calculations should be understood as estimations.</w:t>
      </w:r>
    </w:p>
    <w:p w14:paraId="5D609FA6" w14:textId="77777777" w:rsidR="004002DA" w:rsidRPr="0066181A" w:rsidRDefault="004002DA" w:rsidP="004002DA">
      <w:pPr>
        <w:spacing w:before="120" w:after="120"/>
        <w:rPr>
          <w:rFonts w:cs="Arial"/>
          <w:sz w:val="20"/>
          <w:lang w:val="en-US"/>
        </w:rPr>
      </w:pPr>
    </w:p>
    <w:p w14:paraId="5ED97B0B" w14:textId="77777777" w:rsidR="004002DA" w:rsidRPr="0066181A" w:rsidRDefault="004002DA" w:rsidP="004002DA">
      <w:pPr>
        <w:spacing w:before="120" w:after="120"/>
        <w:rPr>
          <w:rFonts w:cs="Arial"/>
          <w:b/>
          <w:sz w:val="20"/>
          <w:lang w:val="en-US"/>
        </w:rPr>
      </w:pPr>
      <w:r w:rsidRPr="0066181A">
        <w:rPr>
          <w:rFonts w:cs="Arial"/>
          <w:b/>
          <w:sz w:val="20"/>
          <w:lang w:val="en-US"/>
        </w:rPr>
        <w:t xml:space="preserve">East Jerusalem: </w:t>
      </w:r>
    </w:p>
    <w:p w14:paraId="585249BC" w14:textId="77777777" w:rsidR="004002DA" w:rsidRPr="0066181A" w:rsidRDefault="004002DA" w:rsidP="004002DA">
      <w:pPr>
        <w:spacing w:before="120" w:after="120"/>
        <w:rPr>
          <w:rFonts w:cs="Arial"/>
          <w:b/>
          <w:bCs/>
          <w:sz w:val="20"/>
          <w:lang w:val="en-US"/>
        </w:rPr>
      </w:pPr>
      <w:r w:rsidRPr="0066181A">
        <w:rPr>
          <w:rFonts w:cs="Arial"/>
          <w:sz w:val="20"/>
          <w:lang w:val="en-US"/>
        </w:rPr>
        <w:t xml:space="preserve">5.  Palestinians in East Jerusalem face differentiated challenges of life under occupation, facing ongoing land appropriation and settlement building, a discriminatory permit and zoning system, lack of infrastructure and basic and public services, the Separation Wall, unequal citizenship laws, limited municipal autonomy, and exclusionary urban planning. Nearly three quarters of all Palestinian families residing in East Jerusalem live below the Israeli national poverty line, compared to 23% of Israelis in West Jerusalem, where the income gap between Palestinians and Israelis is 1:9. The restrictive zoning, planning and permitting regime for Palestinian urban development in East Jerusalem has resulted in high costs of housing and land purchases, placing a large financial burden on young families and those with limited income who must live in the city to maintain their residency rights. With the limited capacity of the Palestinian economy to stimulate job creation and the limited opportunities available in the Israeli market, </w:t>
      </w:r>
      <w:proofErr w:type="spellStart"/>
      <w:r w:rsidRPr="0066181A">
        <w:rPr>
          <w:rFonts w:cs="Arial"/>
          <w:sz w:val="20"/>
          <w:lang w:val="en-US"/>
        </w:rPr>
        <w:t>labour</w:t>
      </w:r>
      <w:proofErr w:type="spellEnd"/>
      <w:r w:rsidRPr="0066181A">
        <w:rPr>
          <w:rFonts w:cs="Arial"/>
          <w:sz w:val="20"/>
          <w:lang w:val="en-US"/>
        </w:rPr>
        <w:t xml:space="preserve"> force participation is lower in the Jerusalem governorate than the rest of the Palestinian Territory, at 56.4% for men and 6.7% for women. </w:t>
      </w:r>
    </w:p>
    <w:p w14:paraId="67E38AFC" w14:textId="77777777" w:rsidR="004002DA" w:rsidRPr="0066181A" w:rsidRDefault="004002DA" w:rsidP="004002DA">
      <w:pPr>
        <w:spacing w:before="120" w:after="120"/>
        <w:rPr>
          <w:rFonts w:cs="Arial"/>
          <w:b/>
          <w:sz w:val="20"/>
          <w:lang w:val="en-US"/>
        </w:rPr>
      </w:pPr>
      <w:r w:rsidRPr="0066181A">
        <w:rPr>
          <w:rFonts w:cs="Arial"/>
          <w:b/>
          <w:sz w:val="20"/>
          <w:lang w:val="en-US"/>
        </w:rPr>
        <w:t xml:space="preserve">Gaza Strip: </w:t>
      </w:r>
    </w:p>
    <w:p w14:paraId="1F57CFA6" w14:textId="77777777" w:rsidR="004002DA" w:rsidRPr="0066181A" w:rsidRDefault="004002DA" w:rsidP="004002DA">
      <w:pPr>
        <w:spacing w:before="120" w:after="120"/>
        <w:rPr>
          <w:rFonts w:cs="Arial"/>
          <w:sz w:val="20"/>
          <w:lang w:val="en-US"/>
        </w:rPr>
      </w:pPr>
      <w:r w:rsidRPr="0066181A">
        <w:rPr>
          <w:rFonts w:cs="Arial"/>
          <w:sz w:val="20"/>
          <w:lang w:val="en-US"/>
        </w:rPr>
        <w:t xml:space="preserve">6.  In Gaza, the ongoing blockade and movement restrictions continue to severely impact socioeconomic conditions for all. According to the 2020 Humanitarian Needs Overview, 1.5 million people were identified </w:t>
      </w:r>
      <w:r w:rsidRPr="0066181A">
        <w:rPr>
          <w:rFonts w:cs="Arial"/>
          <w:sz w:val="20"/>
          <w:lang w:val="en-US"/>
        </w:rPr>
        <w:lastRenderedPageBreak/>
        <w:t xml:space="preserve">as in need of humanitarian assistance – around 80 % of the total population.  The severe restrictions have put the economy on the brink of collapse. The unemployment rate in Gaza is amongst one of the highest in the world. Over 1 million people living under the poverty line, many of them earning barely enough to retain shelter, clothing and food. Approximately 86% of household income is below $700 per month, where average household debt is around $6,000, a large portion of which are on account of unpaid electricity and water bills. Less than 14% of households reported having an income that adequately meets their household needs.  Average household expenditure is 2885 NIS (838 US$) per month compared to 5938 NIS (1700 US$) in West Bank, where 53.7% of household expenditure is spent on food, housing medical care and education compared to 45% in WB.  While changes in </w:t>
      </w:r>
      <w:proofErr w:type="spellStart"/>
      <w:r w:rsidRPr="0066181A">
        <w:rPr>
          <w:rFonts w:cs="Arial"/>
          <w:sz w:val="20"/>
          <w:lang w:val="en-US"/>
        </w:rPr>
        <w:t>labour</w:t>
      </w:r>
      <w:proofErr w:type="spellEnd"/>
      <w:r w:rsidRPr="0066181A">
        <w:rPr>
          <w:rFonts w:cs="Arial"/>
          <w:sz w:val="20"/>
          <w:lang w:val="en-US"/>
        </w:rPr>
        <w:t xml:space="preserve"> market earnings has resulted in fragile improvements in the West Bank, the decrease in transfers to Gaza (pensions, retirement payments, and domestic remittances) are a key driver of poverty and inequality.  </w:t>
      </w:r>
    </w:p>
    <w:p w14:paraId="06C5CE94" w14:textId="77777777" w:rsidR="004002DA" w:rsidRPr="0066181A" w:rsidRDefault="004002DA" w:rsidP="004002DA">
      <w:pPr>
        <w:spacing w:before="120" w:after="120"/>
        <w:rPr>
          <w:rFonts w:cs="Arial"/>
          <w:sz w:val="20"/>
          <w:lang w:val="en-US"/>
        </w:rPr>
      </w:pPr>
      <w:r w:rsidRPr="0066181A">
        <w:rPr>
          <w:rFonts w:cs="Arial"/>
          <w:sz w:val="20"/>
          <w:lang w:val="en-US"/>
        </w:rPr>
        <w:t xml:space="preserve">7.  The shrinking economy has resulted in the loss of purchasing power for the Gazan private sector, resulting in wage and job cuts and reduced economic productivity, and a decrease in new company registration. The crisis has also resulted in an increase in violence, particularly among men, and gender-based violence in the household. Data forecasts this situation to deteriorate even further. </w:t>
      </w:r>
    </w:p>
    <w:p w14:paraId="6D92AAE0" w14:textId="77777777" w:rsidR="004002DA" w:rsidRPr="0066181A" w:rsidRDefault="004002DA" w:rsidP="004002DA">
      <w:pPr>
        <w:spacing w:before="120" w:after="120"/>
        <w:rPr>
          <w:rFonts w:cs="Arial"/>
          <w:b/>
          <w:sz w:val="20"/>
          <w:lang w:val="en-US"/>
        </w:rPr>
      </w:pPr>
      <w:r w:rsidRPr="0066181A">
        <w:rPr>
          <w:rFonts w:cs="Arial"/>
          <w:b/>
          <w:sz w:val="20"/>
          <w:lang w:val="en-US"/>
        </w:rPr>
        <w:t>Area C, peri-urban and rural areas in the West Bank:</w:t>
      </w:r>
    </w:p>
    <w:p w14:paraId="2EB24C89" w14:textId="77777777" w:rsidR="004002DA" w:rsidRPr="0066181A" w:rsidRDefault="004002DA" w:rsidP="004002DA">
      <w:pPr>
        <w:spacing w:before="120" w:after="120"/>
        <w:rPr>
          <w:rFonts w:cs="Arial"/>
          <w:sz w:val="20"/>
          <w:lang w:val="en-US"/>
        </w:rPr>
      </w:pPr>
      <w:r w:rsidRPr="0066181A">
        <w:rPr>
          <w:rFonts w:cs="Arial"/>
          <w:sz w:val="20"/>
          <w:lang w:val="en-US"/>
        </w:rPr>
        <w:t>8.  Area C spans over 60 % of the West Bank and falls under Israeli civil and military administration. Encompassing prime agricultural lands, pasturelands, water resources, natural minerals and natural beauty key, Area C is crucial for the geographic, socio-economic and spatial integrity as well as the potential development of the Palestinian Territory.  Moreover, Area C is the underlying frame of territorial contiguity in the West Bank which most large-scale and nation-wide infrastructure depends on. Without this territory, a Palestinian State cannot materialize as a tangible entity.</w:t>
      </w:r>
    </w:p>
    <w:p w14:paraId="092EF2AC" w14:textId="77777777" w:rsidR="004002DA" w:rsidRPr="0066181A" w:rsidRDefault="004002DA" w:rsidP="004002DA">
      <w:pPr>
        <w:spacing w:before="120" w:after="240"/>
        <w:rPr>
          <w:rFonts w:cs="Arial"/>
          <w:sz w:val="20"/>
          <w:lang w:val="en-US"/>
        </w:rPr>
      </w:pPr>
      <w:r w:rsidRPr="0066181A">
        <w:rPr>
          <w:rFonts w:cs="Arial"/>
          <w:sz w:val="20"/>
          <w:lang w:val="en-US"/>
        </w:rPr>
        <w:t xml:space="preserve">9.  Israeli restrictions impede business both directly and indirectly, increasing transaction costs and limiting access to resources. Israeli policies increase the cost of doing business, which stifles competition with Israeli and international companies, making it difficult for business to thrive. These restrictions have particularly affected the development of the manufacturing and agricultural sectors. For nearly 300,000 residents in over 500 communities, livelihoods and economic opportunities are deeply affected by the lack of infrastructure for the delivery of basic and public services. More than half of the Palestinian communities in Area C have significant difficulties accessing primary and emergency health services; women, children, the elderly and persons with disabilities are disproportionately affected. Local government units (LGUs) are the primary service providers, including basic services such as water and electricity (if any), lighting and road construction, remote and </w:t>
      </w:r>
      <w:proofErr w:type="spellStart"/>
      <w:r w:rsidRPr="0066181A">
        <w:rPr>
          <w:rFonts w:cs="Arial"/>
          <w:sz w:val="20"/>
          <w:lang w:val="en-US"/>
        </w:rPr>
        <w:t>marginalised</w:t>
      </w:r>
      <w:proofErr w:type="spellEnd"/>
      <w:r w:rsidRPr="0066181A">
        <w:rPr>
          <w:rFonts w:cs="Arial"/>
          <w:sz w:val="20"/>
          <w:lang w:val="en-US"/>
        </w:rPr>
        <w:t xml:space="preserve"> LGUs in the West Bank. These provisions are significantly worse than those closer to urban </w:t>
      </w:r>
      <w:proofErr w:type="spellStart"/>
      <w:r w:rsidRPr="0066181A">
        <w:rPr>
          <w:rFonts w:cs="Arial"/>
          <w:sz w:val="20"/>
          <w:lang w:val="en-US"/>
        </w:rPr>
        <w:t>centres</w:t>
      </w:r>
      <w:proofErr w:type="spellEnd"/>
      <w:r w:rsidRPr="0066181A">
        <w:rPr>
          <w:rFonts w:cs="Arial"/>
          <w:sz w:val="20"/>
          <w:lang w:val="en-US"/>
        </w:rPr>
        <w:t xml:space="preserve">. Economic activity and fiscal capacity tend to be concentrated in urban </w:t>
      </w:r>
      <w:proofErr w:type="spellStart"/>
      <w:r w:rsidRPr="0066181A">
        <w:rPr>
          <w:rFonts w:cs="Arial"/>
          <w:sz w:val="20"/>
          <w:lang w:val="en-US"/>
        </w:rPr>
        <w:t>centres</w:t>
      </w:r>
      <w:proofErr w:type="spellEnd"/>
      <w:r w:rsidRPr="0066181A">
        <w:rPr>
          <w:rFonts w:cs="Arial"/>
          <w:sz w:val="20"/>
          <w:lang w:val="en-US"/>
        </w:rPr>
        <w:t xml:space="preserve">, where smaller and rural LGUs suffer from additional layers of </w:t>
      </w:r>
      <w:proofErr w:type="spellStart"/>
      <w:r w:rsidRPr="0066181A">
        <w:rPr>
          <w:rFonts w:cs="Arial"/>
          <w:sz w:val="20"/>
          <w:lang w:val="en-US"/>
        </w:rPr>
        <w:t>marginalisation</w:t>
      </w:r>
      <w:proofErr w:type="spellEnd"/>
      <w:r w:rsidRPr="0066181A">
        <w:rPr>
          <w:rFonts w:cs="Arial"/>
          <w:sz w:val="20"/>
          <w:lang w:val="en-US"/>
        </w:rPr>
        <w:t xml:space="preserve"> due to restrictions of movement.  </w:t>
      </w:r>
    </w:p>
    <w:p w14:paraId="69206E39" w14:textId="77777777" w:rsidR="004002DA" w:rsidRPr="0066181A" w:rsidRDefault="004002DA" w:rsidP="004002DA">
      <w:pPr>
        <w:spacing w:before="120" w:after="120" w:line="257" w:lineRule="auto"/>
        <w:rPr>
          <w:rFonts w:eastAsia="Arial" w:cs="Arial"/>
          <w:sz w:val="20"/>
          <w:lang w:val="en-US"/>
        </w:rPr>
      </w:pPr>
      <w:r w:rsidRPr="0066181A">
        <w:rPr>
          <w:rFonts w:eastAsia="Arial" w:cs="Arial"/>
          <w:b/>
          <w:bCs/>
          <w:sz w:val="20"/>
          <w:lang w:val="en-US"/>
        </w:rPr>
        <w:t>Implications</w:t>
      </w:r>
      <w:r w:rsidRPr="0066181A">
        <w:rPr>
          <w:rFonts w:eastAsia="Arial" w:cs="Arial"/>
          <w:sz w:val="20"/>
          <w:lang w:val="en-US"/>
        </w:rPr>
        <w:t>:</w:t>
      </w:r>
    </w:p>
    <w:p w14:paraId="1C317453" w14:textId="77777777" w:rsidR="004002DA" w:rsidRPr="0066181A" w:rsidRDefault="004002DA" w:rsidP="004002DA">
      <w:pPr>
        <w:spacing w:before="120"/>
        <w:rPr>
          <w:rFonts w:eastAsia="Arial" w:cs="Arial"/>
          <w:sz w:val="20"/>
          <w:lang w:val="en-US"/>
        </w:rPr>
      </w:pPr>
      <w:r w:rsidRPr="0066181A">
        <w:rPr>
          <w:rFonts w:eastAsia="Arial" w:cs="Arial"/>
          <w:sz w:val="20"/>
          <w:lang w:val="en-US"/>
        </w:rPr>
        <w:lastRenderedPageBreak/>
        <w:t xml:space="preserve">10.  Despite the fact that the Palestinian Government has declared a state of Emergency through June and put in place a COVID-19 Response Plan with number of strict measures to contain the pandemic and prevent local breakdown, WHO identified the Palestinian Territory at very high risk of potential spread of the pandemic, while a resurgence is still possible due to current outbreak in the </w:t>
      </w:r>
      <w:proofErr w:type="spellStart"/>
      <w:r w:rsidRPr="0066181A">
        <w:rPr>
          <w:rFonts w:eastAsia="Arial" w:cs="Arial"/>
          <w:sz w:val="20"/>
          <w:lang w:val="en-US"/>
        </w:rPr>
        <w:t>neighbouring</w:t>
      </w:r>
      <w:proofErr w:type="spellEnd"/>
      <w:r w:rsidRPr="0066181A">
        <w:rPr>
          <w:rFonts w:eastAsia="Arial" w:cs="Arial"/>
          <w:sz w:val="20"/>
          <w:lang w:val="en-US"/>
        </w:rPr>
        <w:t xml:space="preserve"> countries; i.e., Israel and Egypt. Such vulnerability is exacerbated by the insufficient medical resources, including the lack of critical intensive care beds and artificial ventilators, which would dramatically raise the mortality rate of COVID-19. Health workers are vulnerable, without protective equipment and adequate training.  As women represent nearly 60% of workers in the care sector in the Palestinian Territory, and 70% of frontline health workers (12,558 nurses and medics in the West Bank and Gaza Strip), they are particularly at risk. This is in addition to the increased burden of women at home as caregivers, as well as greater need to maintain a hygienic environment for their families.   </w:t>
      </w:r>
    </w:p>
    <w:p w14:paraId="3048520B" w14:textId="77777777" w:rsidR="004002DA" w:rsidRPr="0066181A" w:rsidRDefault="004002DA" w:rsidP="004002DA">
      <w:pPr>
        <w:spacing w:before="120"/>
        <w:rPr>
          <w:rFonts w:cs="Arial"/>
          <w:sz w:val="20"/>
          <w:lang w:val="en-US"/>
        </w:rPr>
      </w:pPr>
      <w:r w:rsidRPr="0066181A">
        <w:rPr>
          <w:rFonts w:eastAsia="Arial" w:cs="Arial"/>
          <w:sz w:val="20"/>
          <w:lang w:val="en-US"/>
        </w:rPr>
        <w:t xml:space="preserve">11. Alongside the implementation of different interventions to address immediate humanitarian needs of affected communities, a more robust integrated approach addressing the recovery and transitional development needs has become crucial to address the socio-economic priorities. This is particularly true for deepening unemployment, particularly among youth, and young women. </w:t>
      </w:r>
      <w:r w:rsidRPr="0066181A">
        <w:rPr>
          <w:rFonts w:cs="Arial"/>
          <w:sz w:val="20"/>
          <w:lang w:val="en-US"/>
        </w:rPr>
        <w:t xml:space="preserve">The COVID-19 emergency will reverberate throughout the real economy. In addition to the direct health impact, the crisis will affect household welfare via reduced </w:t>
      </w:r>
      <w:proofErr w:type="spellStart"/>
      <w:r w:rsidRPr="0066181A">
        <w:rPr>
          <w:rFonts w:cs="Arial"/>
          <w:sz w:val="20"/>
          <w:lang w:val="en-US"/>
        </w:rPr>
        <w:t>labour</w:t>
      </w:r>
      <w:proofErr w:type="spellEnd"/>
      <w:r w:rsidRPr="0066181A">
        <w:rPr>
          <w:rFonts w:cs="Arial"/>
          <w:sz w:val="20"/>
          <w:lang w:val="en-US"/>
        </w:rPr>
        <w:t xml:space="preserve"> income and loss of livelihoods because of lockdowns and the economic crisis that will follow and higher consumption prices, particularly for food. Women are particularly vulnerable, as according to UN Women, 25% of women in the private sector work without employment contracts and 70% of women businesses are in the most severely impacted service sector. </w:t>
      </w:r>
    </w:p>
    <w:p w14:paraId="61804B2F" w14:textId="77777777" w:rsidR="004002DA" w:rsidRPr="0066181A" w:rsidRDefault="004002DA" w:rsidP="004002DA">
      <w:pPr>
        <w:spacing w:before="120"/>
        <w:rPr>
          <w:rFonts w:cs="Arial"/>
          <w:sz w:val="20"/>
          <w:lang w:val="en-US"/>
        </w:rPr>
      </w:pPr>
      <w:r w:rsidRPr="0066181A">
        <w:rPr>
          <w:rFonts w:cs="Arial"/>
          <w:sz w:val="20"/>
          <w:lang w:val="en-US"/>
        </w:rPr>
        <w:t xml:space="preserve">12. The COVID-19 crisis has contributed to exacerbating pre-existing political, social and economic vulnerabilities, with increased tensions and a further fragmentation of the social fabric. </w:t>
      </w:r>
      <w:r w:rsidRPr="0066181A">
        <w:rPr>
          <w:rFonts w:eastAsia="Arial" w:cs="Arial"/>
          <w:sz w:val="20"/>
          <w:lang w:val="en-US"/>
        </w:rPr>
        <w:t xml:space="preserve">During the lockdown imposed by the PA, an increase in violence has been registered, with 16 persons killed since the beginning of 2020, a figure which is higher than 2019. This is in addition to the increase in electronic crimes and domestic violence, which is disproportionately affecting women. These figures are linked to high unemployment rates, poverty and the emerging changes of the socioeconomic structures. The deteriorating situation requires a targeted and comprehensive response, through investments in socioeconomic assets to lessen the economic burden on the people, reinforce the social fabric and strengthen community capacity to absorb, adapt and transform following a crisis. </w:t>
      </w:r>
    </w:p>
    <w:p w14:paraId="11D12617" w14:textId="77777777" w:rsidR="004002DA" w:rsidRPr="0066181A" w:rsidRDefault="004002DA" w:rsidP="002A6590">
      <w:pPr>
        <w:pStyle w:val="Heading1"/>
        <w:keepNext/>
        <w:numPr>
          <w:ilvl w:val="0"/>
          <w:numId w:val="27"/>
        </w:numPr>
        <w:pBdr>
          <w:top w:val="single" w:sz="4" w:space="0" w:color="auto"/>
        </w:pBdr>
        <w:suppressAutoHyphens/>
        <w:spacing w:after="226" w:line="240" w:lineRule="auto"/>
        <w:jc w:val="both"/>
        <w:rPr>
          <w:rFonts w:cs="Arial"/>
          <w:sz w:val="20"/>
        </w:rPr>
      </w:pPr>
      <w:bookmarkStart w:id="6" w:name="_Toc22304424"/>
      <w:bookmarkStart w:id="7" w:name="_Toc22540832"/>
      <w:bookmarkStart w:id="8" w:name="_Toc22541348"/>
      <w:bookmarkStart w:id="9" w:name="_Toc48809747"/>
      <w:r w:rsidRPr="0066181A">
        <w:rPr>
          <w:rFonts w:cs="Arial"/>
          <w:sz w:val="20"/>
        </w:rPr>
        <w:t>Strategy</w:t>
      </w:r>
      <w:bookmarkEnd w:id="6"/>
      <w:bookmarkEnd w:id="7"/>
      <w:bookmarkEnd w:id="8"/>
      <w:bookmarkEnd w:id="9"/>
    </w:p>
    <w:p w14:paraId="1FAEF5EE" w14:textId="77777777" w:rsidR="004002DA" w:rsidRPr="0066181A" w:rsidRDefault="004002DA" w:rsidP="004002DA">
      <w:pPr>
        <w:spacing w:before="120" w:after="120"/>
        <w:rPr>
          <w:rFonts w:cs="Arial"/>
          <w:sz w:val="20"/>
          <w:lang w:val="en-US"/>
        </w:rPr>
      </w:pPr>
      <w:r w:rsidRPr="0066181A">
        <w:rPr>
          <w:rFonts w:cs="Arial"/>
          <w:sz w:val="20"/>
          <w:lang w:val="en-US"/>
        </w:rPr>
        <w:t xml:space="preserve">13. The spread of COVID-19 represents a new challenge for the government, within a very complex situation even prior to the crisis. The government must balance the provision of essential health services with broader socio-economic support for the most affected and increasingly vulnerable communities. Despite the containment measures by the government, the current state of uncertainty requires continued efforts to ensure the health system is strengthened to be able to respond if the situation deteriorates. Moreover, the socio-economic situation prior to the COVID-19 crisis, in which Palestinians were denied </w:t>
      </w:r>
      <w:r w:rsidRPr="0066181A">
        <w:rPr>
          <w:rFonts w:cs="Arial"/>
          <w:sz w:val="20"/>
          <w:lang w:val="en-US"/>
        </w:rPr>
        <w:lastRenderedPageBreak/>
        <w:t xml:space="preserve">human rights and basic security, freedom of movement and access to basic services and employment opportunities, it is imperative that measures are in place to prevent a further deepening of vulnerabilities.  </w:t>
      </w:r>
    </w:p>
    <w:p w14:paraId="161D806F" w14:textId="77777777" w:rsidR="004002DA" w:rsidRPr="0066181A" w:rsidRDefault="004002DA" w:rsidP="004002DA">
      <w:pPr>
        <w:rPr>
          <w:rFonts w:eastAsia="Arial" w:cs="Arial"/>
          <w:spacing w:val="-4"/>
          <w:sz w:val="20"/>
          <w:lang w:val="en-US"/>
        </w:rPr>
      </w:pPr>
      <w:r w:rsidRPr="0066181A">
        <w:rPr>
          <w:rFonts w:cs="Arial"/>
          <w:sz w:val="20"/>
          <w:lang w:val="en-US"/>
        </w:rPr>
        <w:t xml:space="preserve">14. The </w:t>
      </w:r>
      <w:r w:rsidRPr="0066181A">
        <w:rPr>
          <w:rFonts w:cs="Arial"/>
          <w:b/>
          <w:bCs/>
          <w:sz w:val="20"/>
          <w:lang w:val="en-US"/>
        </w:rPr>
        <w:t>Investment Programme for Resilience (IPR)</w:t>
      </w:r>
      <w:r w:rsidRPr="0066181A">
        <w:rPr>
          <w:rFonts w:cs="Arial"/>
          <w:sz w:val="20"/>
          <w:lang w:val="en-US"/>
        </w:rPr>
        <w:t xml:space="preserve"> is a comprehensive, inclusive and integrated response to the needs of the most vulnerable/marginalized communities in the Palestinian Territory. It is designed based on a sound analysis of the risks and problems posed by the COVID-19 crisis and its immediate implications. It is also based on the analysis of previously existing multisectoral development challenges in the Palestinian Territory. The Programme aims to reduce development gaps by addressing short term-immediate needs and medium to longer term priorities with the aim of enhancing access to sustainable and quality services and strengthening the resilience of marginalized communities. </w:t>
      </w:r>
      <w:r w:rsidRPr="0066181A">
        <w:rPr>
          <w:rFonts w:cs="Arial"/>
          <w:spacing w:val="-4"/>
          <w:sz w:val="20"/>
          <w:lang w:val="en-US"/>
        </w:rPr>
        <w:t xml:space="preserve">There will be a strong focus on the most vulnerable groups and communities, including women, youth, and disabled persons.   </w:t>
      </w:r>
    </w:p>
    <w:p w14:paraId="04D4D50E" w14:textId="77777777" w:rsidR="004002DA" w:rsidRPr="0066181A" w:rsidRDefault="004002DA" w:rsidP="004002DA">
      <w:pPr>
        <w:rPr>
          <w:rFonts w:eastAsia="Arial" w:cs="Arial"/>
          <w:sz w:val="20"/>
          <w:lang w:val="en-US"/>
        </w:rPr>
      </w:pPr>
    </w:p>
    <w:p w14:paraId="73FE2C6F" w14:textId="77777777" w:rsidR="004002DA" w:rsidRPr="0066181A" w:rsidRDefault="004002DA" w:rsidP="004002DA">
      <w:pPr>
        <w:rPr>
          <w:rFonts w:cs="Arial"/>
          <w:sz w:val="20"/>
          <w:lang w:val="en-US"/>
        </w:rPr>
      </w:pPr>
      <w:r w:rsidRPr="0066181A">
        <w:rPr>
          <w:rFonts w:cs="Arial"/>
          <w:sz w:val="20"/>
          <w:lang w:val="en-US"/>
        </w:rPr>
        <w:t>15. The IPR is aligned with the Government of Palestine (</w:t>
      </w:r>
      <w:proofErr w:type="spellStart"/>
      <w:r w:rsidRPr="0066181A">
        <w:rPr>
          <w:rFonts w:cs="Arial"/>
          <w:sz w:val="20"/>
          <w:lang w:val="en-US"/>
        </w:rPr>
        <w:t>GoP</w:t>
      </w:r>
      <w:proofErr w:type="spellEnd"/>
      <w:r w:rsidRPr="0066181A">
        <w:rPr>
          <w:rFonts w:cs="Arial"/>
          <w:sz w:val="20"/>
          <w:lang w:val="en-US"/>
        </w:rPr>
        <w:t xml:space="preserve">) response to COVID-19, as well as with the broader National Policy Agenda (NPA), the United Nations Development Assistance Framework (UNDAF) and the SDGs. It is also consistent with the global UN COVID-19 Socio-Economic Response Framework which designates UNDP as the technical lead for socio-economic recovery.  The approach adopted by the IPR is in line with UN-wide discussions in the Palestinian Territory, around the humanitarian-development-peace nexus and the ‘Transformative Resilience’ framework, which has national ownership and leadership, self-reliance, and Palestinian identity at its core.   </w:t>
      </w:r>
    </w:p>
    <w:p w14:paraId="78FBA0EC" w14:textId="77777777" w:rsidR="004002DA" w:rsidRPr="0066181A" w:rsidRDefault="004002DA" w:rsidP="004002DA">
      <w:pPr>
        <w:spacing w:before="240" w:after="240"/>
        <w:rPr>
          <w:rFonts w:cs="Arial"/>
          <w:i/>
          <w:iCs/>
          <w:sz w:val="20"/>
          <w:u w:val="single"/>
          <w:lang w:val="en-US"/>
        </w:rPr>
      </w:pPr>
      <w:r w:rsidRPr="0066181A">
        <w:rPr>
          <w:rFonts w:cs="Arial"/>
          <w:i/>
          <w:iCs/>
          <w:sz w:val="20"/>
          <w:u w:val="single"/>
          <w:lang w:val="en-US"/>
        </w:rPr>
        <w:t>Alignment with Government of Palestine Response to COVID19</w:t>
      </w:r>
    </w:p>
    <w:p w14:paraId="68596EA6" w14:textId="77777777" w:rsidR="004002DA" w:rsidRPr="0066181A" w:rsidRDefault="004002DA" w:rsidP="004002DA">
      <w:pPr>
        <w:spacing w:before="240" w:after="240" w:line="259" w:lineRule="auto"/>
        <w:rPr>
          <w:rFonts w:cs="Arial"/>
          <w:iCs/>
          <w:sz w:val="20"/>
          <w:lang w:val="en-US"/>
        </w:rPr>
      </w:pPr>
      <w:r w:rsidRPr="0066181A">
        <w:rPr>
          <w:rFonts w:cs="Arial"/>
          <w:sz w:val="20"/>
          <w:lang w:val="en-US"/>
        </w:rPr>
        <w:t xml:space="preserve">16.  The IPR is aligned with the Government of Palestine approach to the COVID-19 Response. On the one hand, outputs and activities under Outcome 1 outline how the Programme will contribute to the immediate response efforts in the health sector (in line with </w:t>
      </w:r>
      <w:proofErr w:type="spellStart"/>
      <w:r w:rsidRPr="0066181A">
        <w:rPr>
          <w:rFonts w:cs="Arial"/>
          <w:sz w:val="20"/>
          <w:lang w:val="en-US"/>
        </w:rPr>
        <w:t>GoP</w:t>
      </w:r>
      <w:proofErr w:type="spellEnd"/>
      <w:r w:rsidRPr="0066181A">
        <w:rPr>
          <w:rFonts w:cs="Arial"/>
          <w:sz w:val="20"/>
          <w:lang w:val="en-US"/>
        </w:rPr>
        <w:t xml:space="preserve"> focus on preparation, containment, communication). On the other hand, the investments foreseen under Outcome 2 will focus on socio-economic recovery, as part of the </w:t>
      </w:r>
      <w:proofErr w:type="spellStart"/>
      <w:r w:rsidRPr="0066181A">
        <w:rPr>
          <w:rFonts w:cs="Arial"/>
          <w:sz w:val="20"/>
          <w:lang w:val="en-US"/>
        </w:rPr>
        <w:t>GoP</w:t>
      </w:r>
      <w:proofErr w:type="spellEnd"/>
      <w:r w:rsidRPr="0066181A">
        <w:rPr>
          <w:rFonts w:cs="Arial"/>
          <w:sz w:val="20"/>
          <w:lang w:val="en-US"/>
        </w:rPr>
        <w:t xml:space="preserve"> medium to long-term </w:t>
      </w:r>
      <w:r w:rsidRPr="0066181A">
        <w:rPr>
          <w:rFonts w:cs="Arial"/>
          <w:iCs/>
          <w:sz w:val="20"/>
          <w:lang w:val="en-US"/>
        </w:rPr>
        <w:t>strategy</w:t>
      </w:r>
      <w:r w:rsidRPr="0066181A">
        <w:rPr>
          <w:rFonts w:cs="Arial"/>
          <w:sz w:val="20"/>
          <w:lang w:val="en-US"/>
        </w:rPr>
        <w:t xml:space="preserve">. </w:t>
      </w:r>
    </w:p>
    <w:p w14:paraId="49F6CC51" w14:textId="77777777" w:rsidR="004002DA" w:rsidRPr="0066181A" w:rsidRDefault="004002DA" w:rsidP="004002DA">
      <w:pPr>
        <w:spacing w:before="240" w:after="240"/>
        <w:rPr>
          <w:rFonts w:cs="Arial"/>
          <w:i/>
          <w:iCs/>
          <w:sz w:val="20"/>
          <w:u w:val="single"/>
          <w:lang w:val="en-US"/>
        </w:rPr>
      </w:pPr>
    </w:p>
    <w:p w14:paraId="1C091C7D" w14:textId="77777777" w:rsidR="004002DA" w:rsidRPr="0066181A" w:rsidRDefault="004002DA" w:rsidP="004002DA">
      <w:pPr>
        <w:spacing w:before="240" w:after="240"/>
        <w:rPr>
          <w:rFonts w:cs="Arial"/>
          <w:i/>
          <w:iCs/>
          <w:sz w:val="20"/>
          <w:u w:val="single"/>
          <w:lang w:val="en-US"/>
        </w:rPr>
      </w:pPr>
      <w:r w:rsidRPr="0066181A">
        <w:rPr>
          <w:rFonts w:cs="Arial"/>
          <w:i/>
          <w:iCs/>
          <w:sz w:val="20"/>
          <w:u w:val="single"/>
          <w:lang w:val="en-US"/>
        </w:rPr>
        <w:t>Alignment with UNDP COVID-19 response in the Palestinian Territory</w:t>
      </w:r>
    </w:p>
    <w:p w14:paraId="2496B1D1" w14:textId="77777777" w:rsidR="004002DA" w:rsidRPr="0066181A" w:rsidRDefault="004002DA" w:rsidP="004002DA">
      <w:pPr>
        <w:rPr>
          <w:rFonts w:cs="Arial"/>
          <w:iCs/>
          <w:sz w:val="20"/>
          <w:lang w:val="en-US"/>
        </w:rPr>
      </w:pPr>
      <w:r w:rsidRPr="0066181A">
        <w:rPr>
          <w:rFonts w:cs="Arial"/>
          <w:iCs/>
          <w:sz w:val="20"/>
          <w:lang w:val="en-US"/>
        </w:rPr>
        <w:t>17. The IPR is aligned to the overall UNDP COVID-19 Prepare, Respond and Recover strategy, supporting the Palestinian government across three main pillars:</w:t>
      </w:r>
      <w:r w:rsidRPr="0066181A">
        <w:rPr>
          <w:rFonts w:cs="Arial"/>
          <w:sz w:val="20"/>
          <w:lang w:val="en-US"/>
        </w:rPr>
        <w:t> </w:t>
      </w:r>
      <w:r w:rsidRPr="0066181A">
        <w:rPr>
          <w:rFonts w:cs="Arial"/>
          <w:iCs/>
          <w:sz w:val="20"/>
          <w:lang w:val="en-US"/>
        </w:rPr>
        <w:t> </w:t>
      </w:r>
    </w:p>
    <w:p w14:paraId="44306090" w14:textId="77777777" w:rsidR="004002DA" w:rsidRPr="0066181A" w:rsidRDefault="004002DA" w:rsidP="002A6590">
      <w:pPr>
        <w:pStyle w:val="ListParagraph"/>
        <w:numPr>
          <w:ilvl w:val="0"/>
          <w:numId w:val="23"/>
        </w:numPr>
        <w:spacing w:after="60" w:line="240" w:lineRule="auto"/>
        <w:contextualSpacing w:val="0"/>
        <w:jc w:val="both"/>
        <w:rPr>
          <w:rFonts w:cs="Arial"/>
          <w:iCs/>
          <w:sz w:val="20"/>
          <w:lang w:val="en-US"/>
        </w:rPr>
      </w:pPr>
      <w:r w:rsidRPr="0066181A">
        <w:rPr>
          <w:rFonts w:cs="Arial"/>
          <w:b/>
          <w:bCs/>
          <w:iCs/>
          <w:sz w:val="20"/>
          <w:lang w:val="en-US"/>
        </w:rPr>
        <w:t>Enhance the preparedness of the health system to receive additional COVID-19 patients, while also ensuring the continuity of essential healthcare provision</w:t>
      </w:r>
      <w:r w:rsidRPr="0066181A">
        <w:rPr>
          <w:rFonts w:cs="Arial"/>
          <w:iCs/>
          <w:sz w:val="20"/>
          <w:lang w:val="en-US"/>
        </w:rPr>
        <w:t xml:space="preserve"> by a) increasing the number of health practitioners through deployment of health workers, b) supporting the health and environment departments at municipalities with the </w:t>
      </w:r>
      <w:proofErr w:type="spellStart"/>
      <w:r w:rsidRPr="0066181A">
        <w:rPr>
          <w:rFonts w:cs="Arial"/>
          <w:iCs/>
          <w:sz w:val="20"/>
          <w:lang w:val="en-US"/>
        </w:rPr>
        <w:t>sterilisation</w:t>
      </w:r>
      <w:proofErr w:type="spellEnd"/>
      <w:r w:rsidRPr="0066181A">
        <w:rPr>
          <w:rFonts w:cs="Arial"/>
          <w:iCs/>
          <w:sz w:val="20"/>
          <w:lang w:val="en-US"/>
        </w:rPr>
        <w:t xml:space="preserve"> and disinfection of public facilities and markets, c) improving health waste management through the provision of equipment and training.</w:t>
      </w:r>
    </w:p>
    <w:p w14:paraId="0EF552A7" w14:textId="77777777" w:rsidR="004002DA" w:rsidRPr="0066181A" w:rsidRDefault="004002DA" w:rsidP="002A6590">
      <w:pPr>
        <w:pStyle w:val="ListParagraph"/>
        <w:numPr>
          <w:ilvl w:val="0"/>
          <w:numId w:val="23"/>
        </w:numPr>
        <w:spacing w:line="240" w:lineRule="auto"/>
        <w:contextualSpacing w:val="0"/>
        <w:jc w:val="both"/>
        <w:textAlignment w:val="baseline"/>
        <w:rPr>
          <w:rFonts w:cs="Arial"/>
          <w:iCs/>
          <w:sz w:val="20"/>
          <w:lang w:val="en-US"/>
        </w:rPr>
      </w:pPr>
      <w:r w:rsidRPr="0066181A">
        <w:rPr>
          <w:rFonts w:cs="Arial"/>
          <w:b/>
          <w:bCs/>
          <w:iCs/>
          <w:sz w:val="20"/>
          <w:lang w:val="en-US"/>
        </w:rPr>
        <w:t>Support the government’s leading role in inclusive and integrated crisis</w:t>
      </w:r>
      <w:r w:rsidRPr="0066181A">
        <w:rPr>
          <w:rFonts w:cs="Arial"/>
          <w:b/>
          <w:sz w:val="20"/>
          <w:lang w:val="en-US"/>
        </w:rPr>
        <w:t xml:space="preserve"> </w:t>
      </w:r>
      <w:r w:rsidRPr="0066181A">
        <w:rPr>
          <w:rFonts w:cs="Arial"/>
          <w:b/>
          <w:bCs/>
          <w:iCs/>
          <w:sz w:val="20"/>
          <w:lang w:val="en-US"/>
        </w:rPr>
        <w:t xml:space="preserve">management and assessing and planning for the medium- to long-term </w:t>
      </w:r>
      <w:r w:rsidRPr="0066181A">
        <w:rPr>
          <w:rFonts w:cs="Arial"/>
          <w:b/>
          <w:sz w:val="20"/>
          <w:lang w:val="en-US"/>
        </w:rPr>
        <w:t>s</w:t>
      </w:r>
      <w:r w:rsidRPr="0066181A">
        <w:rPr>
          <w:rFonts w:cs="Arial"/>
          <w:b/>
          <w:bCs/>
          <w:iCs/>
          <w:sz w:val="20"/>
          <w:lang w:val="en-US"/>
        </w:rPr>
        <w:t>ocio</w:t>
      </w:r>
      <w:r w:rsidRPr="0066181A">
        <w:rPr>
          <w:rFonts w:cs="Arial"/>
          <w:b/>
          <w:sz w:val="20"/>
          <w:lang w:val="en-US"/>
        </w:rPr>
        <w:t>-</w:t>
      </w:r>
      <w:r w:rsidRPr="0066181A">
        <w:rPr>
          <w:rFonts w:cs="Arial"/>
          <w:b/>
          <w:bCs/>
          <w:iCs/>
          <w:sz w:val="20"/>
          <w:lang w:val="en-US"/>
        </w:rPr>
        <w:t xml:space="preserve">economic recovery </w:t>
      </w:r>
      <w:r w:rsidRPr="0066181A">
        <w:rPr>
          <w:rFonts w:cs="Arial"/>
          <w:iCs/>
          <w:sz w:val="20"/>
          <w:lang w:val="en-US"/>
        </w:rPr>
        <w:t>by a)</w:t>
      </w:r>
      <w:r w:rsidRPr="0066181A">
        <w:rPr>
          <w:rFonts w:cs="Arial"/>
          <w:b/>
          <w:bCs/>
          <w:iCs/>
          <w:sz w:val="20"/>
          <w:lang w:val="en-US"/>
        </w:rPr>
        <w:t xml:space="preserve"> </w:t>
      </w:r>
      <w:r w:rsidRPr="0066181A">
        <w:rPr>
          <w:rFonts w:cs="Arial"/>
          <w:sz w:val="20"/>
          <w:lang w:val="en-US"/>
        </w:rPr>
        <w:t>supporting the establishment</w:t>
      </w:r>
      <w:r w:rsidRPr="0066181A">
        <w:rPr>
          <w:rFonts w:cs="Arial"/>
          <w:iCs/>
          <w:sz w:val="20"/>
          <w:lang w:val="en-US"/>
        </w:rPr>
        <w:t xml:space="preserve"> and operationalization</w:t>
      </w:r>
      <w:r w:rsidRPr="0066181A">
        <w:rPr>
          <w:rFonts w:cs="Arial"/>
          <w:sz w:val="20"/>
          <w:lang w:val="en-US"/>
        </w:rPr>
        <w:t xml:space="preserve"> of a Socio-economic Recovery and Response Unit (SERR) housed in the Prime Minister’s Office (PMO), </w:t>
      </w:r>
      <w:r w:rsidRPr="0066181A">
        <w:rPr>
          <w:rFonts w:cs="Arial"/>
          <w:iCs/>
          <w:sz w:val="20"/>
          <w:lang w:val="en-US"/>
        </w:rPr>
        <w:t xml:space="preserve">b) supporting line ministries with individual response plans and mitigation interventions required to </w:t>
      </w:r>
      <w:r w:rsidRPr="0066181A">
        <w:rPr>
          <w:rFonts w:cs="Arial"/>
          <w:iCs/>
          <w:sz w:val="20"/>
          <w:lang w:val="en-US"/>
        </w:rPr>
        <w:lastRenderedPageBreak/>
        <w:t>support socio-economic recovery, c)</w:t>
      </w:r>
      <w:r w:rsidRPr="0066181A">
        <w:rPr>
          <w:rFonts w:cs="Arial"/>
          <w:sz w:val="20"/>
          <w:lang w:val="en-US"/>
        </w:rPr>
        <w:t xml:space="preserve"> </w:t>
      </w:r>
      <w:r w:rsidRPr="0066181A">
        <w:rPr>
          <w:rFonts w:cs="Arial"/>
          <w:iCs/>
          <w:sz w:val="20"/>
          <w:lang w:val="en-US"/>
        </w:rPr>
        <w:t>strengthening accountability and transparency in government responses.</w:t>
      </w:r>
    </w:p>
    <w:p w14:paraId="74707814" w14:textId="77777777" w:rsidR="004002DA" w:rsidRPr="0066181A" w:rsidRDefault="004002DA" w:rsidP="002A6590">
      <w:pPr>
        <w:pStyle w:val="ListParagraph"/>
        <w:numPr>
          <w:ilvl w:val="0"/>
          <w:numId w:val="23"/>
        </w:numPr>
        <w:spacing w:line="240" w:lineRule="auto"/>
        <w:contextualSpacing w:val="0"/>
        <w:jc w:val="both"/>
        <w:textAlignment w:val="baseline"/>
        <w:rPr>
          <w:rFonts w:cs="Arial"/>
          <w:iCs/>
          <w:sz w:val="20"/>
          <w:lang w:val="en-US"/>
        </w:rPr>
      </w:pPr>
      <w:r w:rsidRPr="0066181A">
        <w:rPr>
          <w:rFonts w:cs="Arial"/>
          <w:b/>
          <w:bCs/>
          <w:iCs/>
          <w:sz w:val="20"/>
          <w:lang w:val="en-US"/>
        </w:rPr>
        <w:t xml:space="preserve">Develop and implement resilience-based recovery measures especially for vulnerable and marginalized groups </w:t>
      </w:r>
      <w:r w:rsidRPr="0066181A">
        <w:rPr>
          <w:rFonts w:cs="Arial"/>
          <w:iCs/>
          <w:sz w:val="20"/>
          <w:lang w:val="en-US"/>
        </w:rPr>
        <w:t>by a) supporting livelihoods and short-term jobs linked to longer-term employment and b) enhancing capacity of local actors to deliver services.</w:t>
      </w:r>
    </w:p>
    <w:p w14:paraId="19BB85F0" w14:textId="77777777" w:rsidR="004002DA" w:rsidRPr="0066181A" w:rsidRDefault="004002DA" w:rsidP="004002DA">
      <w:pPr>
        <w:spacing w:before="240" w:after="240"/>
        <w:rPr>
          <w:rFonts w:cs="Arial"/>
          <w:i/>
          <w:iCs/>
          <w:sz w:val="20"/>
          <w:u w:val="single"/>
          <w:lang w:val="en-US"/>
        </w:rPr>
      </w:pPr>
      <w:r w:rsidRPr="0066181A">
        <w:rPr>
          <w:rFonts w:cs="Arial"/>
          <w:i/>
          <w:iCs/>
          <w:sz w:val="20"/>
          <w:u w:val="single"/>
          <w:lang w:val="en-US"/>
        </w:rPr>
        <w:t>Alignment with NPA and UNDAF</w:t>
      </w:r>
    </w:p>
    <w:p w14:paraId="4A0E069A" w14:textId="77777777" w:rsidR="004002DA" w:rsidRPr="0066181A" w:rsidRDefault="004002DA" w:rsidP="004002DA">
      <w:pPr>
        <w:rPr>
          <w:rFonts w:cs="Arial"/>
          <w:sz w:val="20"/>
          <w:lang w:val="en-US"/>
        </w:rPr>
      </w:pPr>
      <w:r w:rsidRPr="0066181A">
        <w:rPr>
          <w:rFonts w:cs="Arial"/>
          <w:sz w:val="20"/>
          <w:lang w:val="en-US"/>
        </w:rPr>
        <w:t>18.  The IPR is aligned with the following national priorities: under the government reform pillar, National Priority 4 – Citizen-</w:t>
      </w:r>
      <w:proofErr w:type="spellStart"/>
      <w:r w:rsidRPr="0066181A">
        <w:rPr>
          <w:rFonts w:cs="Arial"/>
          <w:sz w:val="20"/>
          <w:lang w:val="en-US"/>
        </w:rPr>
        <w:t>Centred</w:t>
      </w:r>
      <w:proofErr w:type="spellEnd"/>
      <w:r w:rsidRPr="0066181A">
        <w:rPr>
          <w:rFonts w:cs="Arial"/>
          <w:sz w:val="20"/>
          <w:lang w:val="en-US"/>
        </w:rPr>
        <w:t xml:space="preserve"> Government, improving services to citizens; under the sustainable development pillar, National Priority 6 – Economic Independence, creating job opportunities; under the National Priority 9 – Quality Health Care for All, better health care services and finally National Priority 10 – Resilient Communities. In addition, it contributes to several UNDAF outcomes and strategic priorities, particularly Strategic Priority 3 – Leaving No One Behind: Supporting sustainable and inclusive economic development.</w:t>
      </w:r>
    </w:p>
    <w:p w14:paraId="1720278D" w14:textId="77777777" w:rsidR="004002DA" w:rsidRPr="0066181A" w:rsidRDefault="004002DA" w:rsidP="004002DA">
      <w:pPr>
        <w:spacing w:before="240" w:after="240"/>
        <w:rPr>
          <w:rFonts w:cs="Arial"/>
          <w:sz w:val="20"/>
          <w:highlight w:val="yellow"/>
          <w:lang w:val="en-US"/>
        </w:rPr>
      </w:pPr>
      <w:r w:rsidRPr="0066181A">
        <w:rPr>
          <w:rFonts w:cs="Arial"/>
          <w:i/>
          <w:iCs/>
          <w:sz w:val="20"/>
          <w:u w:val="single"/>
          <w:lang w:val="en-US"/>
        </w:rPr>
        <w:t xml:space="preserve">Alignment with the Transformative Resilience </w:t>
      </w:r>
    </w:p>
    <w:p w14:paraId="479A0B63" w14:textId="77777777" w:rsidR="004002DA" w:rsidRPr="0066181A" w:rsidRDefault="004002DA" w:rsidP="004002DA">
      <w:pPr>
        <w:rPr>
          <w:rFonts w:cs="Arial"/>
          <w:sz w:val="20"/>
          <w:lang w:val="en-US"/>
        </w:rPr>
      </w:pPr>
      <w:r w:rsidRPr="0066181A">
        <w:rPr>
          <w:rFonts w:cs="Arial"/>
          <w:sz w:val="20"/>
          <w:lang w:val="en-US"/>
        </w:rPr>
        <w:t>19.  The design of the IPR Programme reflects UNDP’s Transformative Resilience approach. The operationalization of this framework supports the harmonization and coherence of efforts between the national and local level stakeholders, guiding the short term-immediate crisis response which contribute to the medium- to longer-term recovery interventions that reinforce resilience at the community level. The emphasis is on marginalized areas, including Area C, East Jerusalem and Gaza. In addition, this will support the government in meeting national priorities and mitigate further erosion of community livelihoods.</w:t>
      </w:r>
    </w:p>
    <w:p w14:paraId="7BB3B385" w14:textId="77777777" w:rsidR="004002DA" w:rsidRPr="0066181A" w:rsidRDefault="004002DA" w:rsidP="004002DA">
      <w:pPr>
        <w:rPr>
          <w:rFonts w:eastAsia="Calibri" w:cs="Arial"/>
          <w:sz w:val="20"/>
          <w:lang w:val="en-US"/>
        </w:rPr>
      </w:pPr>
      <w:r w:rsidRPr="0066181A">
        <w:rPr>
          <w:rFonts w:cs="Arial"/>
          <w:sz w:val="20"/>
          <w:lang w:val="en-US"/>
        </w:rPr>
        <w:t xml:space="preserve"> </w:t>
      </w:r>
    </w:p>
    <w:p w14:paraId="37FAFE5C" w14:textId="77777777" w:rsidR="004002DA" w:rsidRPr="0066181A" w:rsidRDefault="004002DA" w:rsidP="004002DA">
      <w:pPr>
        <w:rPr>
          <w:rFonts w:cs="Arial"/>
          <w:sz w:val="20"/>
          <w:lang w:val="en-US"/>
        </w:rPr>
      </w:pPr>
      <w:r w:rsidRPr="0066181A">
        <w:rPr>
          <w:rFonts w:cs="Arial"/>
          <w:sz w:val="20"/>
          <w:lang w:val="en-US"/>
        </w:rPr>
        <w:t xml:space="preserve">20. The IPR is line with the Boosting Resilience in Fragile Contexts strategy initiated by the German Federal Ministry for Economic Cooperation and Development (BMZ), seeking to promote resilience as a multi-sector guiding principle of its Strategy on Transitional Development Assistance (TDA). The IPR will </w:t>
      </w:r>
      <w:proofErr w:type="gramStart"/>
      <w:r w:rsidRPr="0066181A">
        <w:rPr>
          <w:rFonts w:cs="Arial"/>
          <w:sz w:val="20"/>
          <w:lang w:val="en-US"/>
        </w:rPr>
        <w:t>take into account</w:t>
      </w:r>
      <w:proofErr w:type="gramEnd"/>
      <w:r w:rsidRPr="0066181A">
        <w:rPr>
          <w:rFonts w:cs="Arial"/>
          <w:sz w:val="20"/>
          <w:lang w:val="en-US"/>
        </w:rPr>
        <w:t xml:space="preserve"> the eight Programme Quality Principles as set under this strategic vision, including: </w:t>
      </w:r>
    </w:p>
    <w:p w14:paraId="32FCF1CE" w14:textId="77777777" w:rsidR="004002DA" w:rsidRPr="0066181A" w:rsidRDefault="004002DA" w:rsidP="004002DA">
      <w:pPr>
        <w:pStyle w:val="ListParagraph"/>
        <w:numPr>
          <w:ilvl w:val="0"/>
          <w:numId w:val="15"/>
        </w:numPr>
        <w:spacing w:after="60" w:line="240" w:lineRule="auto"/>
        <w:contextualSpacing w:val="0"/>
        <w:jc w:val="both"/>
        <w:rPr>
          <w:rFonts w:eastAsiaTheme="minorBidi" w:cs="Arial"/>
          <w:sz w:val="20"/>
          <w:lang w:val="en-US"/>
        </w:rPr>
      </w:pPr>
      <w:r w:rsidRPr="0066181A">
        <w:rPr>
          <w:rFonts w:cs="Arial"/>
          <w:sz w:val="20"/>
          <w:lang w:val="en-US"/>
        </w:rPr>
        <w:t xml:space="preserve">Introduce a coherent analysis package: through designing the benchmark, IPR will complement existing livelihood system analysis to understand the interlinkages between different kinds of risks and vulnerabilities, as well as existing and needed resilience capacities.  </w:t>
      </w:r>
    </w:p>
    <w:p w14:paraId="2CD53245" w14:textId="77777777" w:rsidR="004002DA" w:rsidRPr="0066181A" w:rsidRDefault="004002DA" w:rsidP="004002DA">
      <w:pPr>
        <w:pStyle w:val="ListParagraph"/>
        <w:numPr>
          <w:ilvl w:val="0"/>
          <w:numId w:val="15"/>
        </w:numPr>
        <w:spacing w:after="60" w:line="240" w:lineRule="auto"/>
        <w:contextualSpacing w:val="0"/>
        <w:jc w:val="both"/>
        <w:rPr>
          <w:rFonts w:eastAsiaTheme="minorBidi" w:cs="Arial"/>
          <w:sz w:val="20"/>
          <w:lang w:val="en-US"/>
        </w:rPr>
      </w:pPr>
      <w:r w:rsidRPr="0066181A">
        <w:rPr>
          <w:rFonts w:cs="Arial"/>
          <w:sz w:val="20"/>
          <w:lang w:val="en-US"/>
        </w:rPr>
        <w:t>Apply a bottom-up process within the project cycle: through the call for proposals, IPR will promote inclusive ownership and trust in new and innovative strategies for managing risk and change.</w:t>
      </w:r>
    </w:p>
    <w:p w14:paraId="09F65105" w14:textId="77777777" w:rsidR="004002DA" w:rsidRPr="0066181A" w:rsidRDefault="004002DA" w:rsidP="004002DA">
      <w:pPr>
        <w:pStyle w:val="ListParagraph"/>
        <w:numPr>
          <w:ilvl w:val="0"/>
          <w:numId w:val="15"/>
        </w:numPr>
        <w:spacing w:after="60" w:line="240" w:lineRule="auto"/>
        <w:contextualSpacing w:val="0"/>
        <w:jc w:val="both"/>
        <w:rPr>
          <w:rFonts w:eastAsiaTheme="minorBidi" w:cs="Arial"/>
          <w:sz w:val="20"/>
          <w:lang w:val="en-US"/>
        </w:rPr>
      </w:pPr>
      <w:r w:rsidRPr="0066181A">
        <w:rPr>
          <w:rFonts w:cs="Arial"/>
          <w:sz w:val="20"/>
          <w:lang w:val="en-US"/>
        </w:rPr>
        <w:t>Break down operational silos and utilize synergies: during the inception phase there will be a mapping of activities in order to ensure that IPR implementation fosters synergies, collaboration and interlinkages with other initiatives for reinforcing community resilience.</w:t>
      </w:r>
    </w:p>
    <w:p w14:paraId="498ED906" w14:textId="77777777" w:rsidR="004002DA" w:rsidRPr="0066181A" w:rsidRDefault="004002DA" w:rsidP="004002DA">
      <w:pPr>
        <w:pStyle w:val="ListParagraph"/>
        <w:numPr>
          <w:ilvl w:val="0"/>
          <w:numId w:val="15"/>
        </w:numPr>
        <w:spacing w:after="60" w:line="240" w:lineRule="auto"/>
        <w:contextualSpacing w:val="0"/>
        <w:jc w:val="both"/>
        <w:rPr>
          <w:rFonts w:eastAsiaTheme="minorBidi" w:cs="Arial"/>
          <w:sz w:val="20"/>
          <w:lang w:val="en-US"/>
        </w:rPr>
      </w:pPr>
      <w:r w:rsidRPr="0066181A">
        <w:rPr>
          <w:rFonts w:cs="Arial"/>
          <w:sz w:val="20"/>
          <w:lang w:val="en-US"/>
        </w:rPr>
        <w:t xml:space="preserve">Use a political economy approach to inform project actions: the IPR is built on comprehensive analysis of the key actors, their official mandates/ roles, informal interests, etc. This is also linked with national socio-economic mapping, as well as cost-benefit analysis, allowing for a focus on strategic and sustainable initiatives for community resilience. While supporting a long-term vision, it takes a practical approach for testing models and modifying the model for national scale-up and implementation. </w:t>
      </w:r>
    </w:p>
    <w:p w14:paraId="08289B77" w14:textId="77777777" w:rsidR="004002DA" w:rsidRPr="0066181A" w:rsidRDefault="004002DA" w:rsidP="004002DA">
      <w:pPr>
        <w:spacing w:before="240" w:after="240"/>
        <w:rPr>
          <w:rFonts w:cs="Arial"/>
          <w:i/>
          <w:sz w:val="20"/>
          <w:u w:val="single"/>
          <w:lang w:val="en-US"/>
        </w:rPr>
      </w:pPr>
      <w:r w:rsidRPr="0066181A">
        <w:rPr>
          <w:rFonts w:cs="Arial"/>
          <w:i/>
          <w:iCs/>
          <w:sz w:val="20"/>
          <w:u w:val="single"/>
          <w:lang w:val="en-US"/>
        </w:rPr>
        <w:t>Building on achievements and lessons learnt from previous programmes implemented by UNDP in the Palestinian Territory</w:t>
      </w:r>
    </w:p>
    <w:p w14:paraId="18E0E75E" w14:textId="77777777" w:rsidR="004002DA" w:rsidRPr="0066181A" w:rsidRDefault="004002DA" w:rsidP="004002DA">
      <w:pPr>
        <w:rPr>
          <w:rFonts w:cs="Arial"/>
          <w:iCs/>
          <w:sz w:val="20"/>
          <w:lang w:val="en-US"/>
        </w:rPr>
      </w:pPr>
      <w:r w:rsidRPr="0066181A">
        <w:rPr>
          <w:rFonts w:cs="Arial"/>
          <w:iCs/>
          <w:sz w:val="20"/>
          <w:lang w:val="en-US"/>
        </w:rPr>
        <w:lastRenderedPageBreak/>
        <w:t xml:space="preserve">21.  The strategic vision of the IPR is built on the long-lasting partnership with the Government of Palestine and on UNDP’s solid experience working across different sectors with communities, civil society, local authorities and national counterparts in the Palestinian Territory. Moreover, the design and approach of the suggested activities is founded on lessons learnt from previously implemented programmes. Though, in contrast to the EGP, the new IPR will have a clearer focus on strengthening resilience by building the capacities of local communities and service providers. A broader resilience focus will have positive impact on peace and conflict by lowering tensions and fostering peaceful living at the local level. </w:t>
      </w:r>
    </w:p>
    <w:p w14:paraId="0718D167" w14:textId="77777777" w:rsidR="004002DA" w:rsidRPr="0066181A" w:rsidRDefault="004002DA" w:rsidP="004002DA">
      <w:pPr>
        <w:spacing w:line="257" w:lineRule="auto"/>
        <w:rPr>
          <w:rFonts w:cs="Arial"/>
          <w:iCs/>
          <w:sz w:val="20"/>
          <w:lang w:val="en-US"/>
        </w:rPr>
      </w:pPr>
    </w:p>
    <w:p w14:paraId="5E25FE22" w14:textId="77777777" w:rsidR="004002DA" w:rsidRPr="0066181A" w:rsidRDefault="004002DA" w:rsidP="004002DA">
      <w:pPr>
        <w:spacing w:line="257" w:lineRule="auto"/>
        <w:rPr>
          <w:rFonts w:cs="Arial"/>
          <w:iCs/>
          <w:sz w:val="20"/>
          <w:lang w:val="en-US"/>
        </w:rPr>
      </w:pPr>
      <w:r w:rsidRPr="0066181A">
        <w:rPr>
          <w:rFonts w:cs="Arial"/>
          <w:iCs/>
          <w:sz w:val="20"/>
          <w:lang w:val="en-US"/>
        </w:rPr>
        <w:t xml:space="preserve">22.  The IPR also benefits from the implementation methodologies of social and environmental safeguarding, solid knowledge of call for proposals, strong partnerships on ground with the national counterparts and community-based institutions, and the current efforts for reinforcing Monitoring and Evaluation (M&amp;E) through real time monitoring, reporting and communication, benefitting from different software’s and platforms, such as Kobo Toolbox and ArcGIS. All these elements were adjusted, strengthened and consolidated through the different programmatic interventions carried out in the past years. UNDP’s valuable experience of linking short-term job creation with longer term sustainable employment through start-up support and incubation provide tested models that can move to scale. </w:t>
      </w:r>
    </w:p>
    <w:p w14:paraId="72935483" w14:textId="77777777" w:rsidR="004002DA" w:rsidRPr="0066181A" w:rsidRDefault="004002DA" w:rsidP="004002DA">
      <w:pPr>
        <w:spacing w:line="257" w:lineRule="auto"/>
        <w:rPr>
          <w:rFonts w:cs="Arial"/>
          <w:iCs/>
          <w:sz w:val="20"/>
          <w:lang w:val="en-US"/>
        </w:rPr>
      </w:pPr>
    </w:p>
    <w:p w14:paraId="191E1097" w14:textId="77777777" w:rsidR="004002DA" w:rsidRPr="0066181A" w:rsidRDefault="004002DA" w:rsidP="004002DA">
      <w:pPr>
        <w:spacing w:line="257" w:lineRule="auto"/>
        <w:rPr>
          <w:rFonts w:cs="Arial"/>
          <w:iCs/>
          <w:sz w:val="20"/>
          <w:lang w:val="en-US"/>
        </w:rPr>
      </w:pPr>
      <w:r w:rsidRPr="0066181A">
        <w:rPr>
          <w:rFonts w:cs="Arial"/>
          <w:iCs/>
          <w:sz w:val="20"/>
          <w:lang w:val="en-US"/>
        </w:rPr>
        <w:t xml:space="preserve">23. At the level of the immediate response of combating COVID-19, the IPR will dovetail with ongoing interventions, implementation and governance structures, knowledge in supporting national and local partners in the provision of medical equipment, medical waste systems and deployment of health workers. </w:t>
      </w:r>
    </w:p>
    <w:p w14:paraId="316F3305" w14:textId="77777777" w:rsidR="004002DA" w:rsidRPr="0066181A" w:rsidRDefault="004002DA" w:rsidP="004002DA">
      <w:pPr>
        <w:rPr>
          <w:rFonts w:cs="Arial"/>
          <w:sz w:val="20"/>
          <w:lang w:val="en-US"/>
        </w:rPr>
      </w:pPr>
    </w:p>
    <w:p w14:paraId="12050935" w14:textId="77777777" w:rsidR="004002DA" w:rsidRPr="0066181A" w:rsidRDefault="004002DA" w:rsidP="004002DA">
      <w:pPr>
        <w:rPr>
          <w:rFonts w:cs="Arial"/>
          <w:sz w:val="20"/>
          <w:lang w:val="en-US"/>
        </w:rPr>
      </w:pPr>
      <w:r w:rsidRPr="0066181A">
        <w:rPr>
          <w:rFonts w:cs="Arial"/>
          <w:sz w:val="20"/>
          <w:lang w:val="en-US"/>
        </w:rPr>
        <w:t>24. By building on these lessons learnt, further investments to enhance resilience at the national and community levels have the intent to:</w:t>
      </w:r>
    </w:p>
    <w:p w14:paraId="663EE72E" w14:textId="77777777" w:rsidR="004002DA" w:rsidRPr="0066181A" w:rsidRDefault="004002DA" w:rsidP="002A6590">
      <w:pPr>
        <w:pStyle w:val="ListParagraph"/>
        <w:numPr>
          <w:ilvl w:val="0"/>
          <w:numId w:val="17"/>
        </w:numPr>
        <w:spacing w:line="240" w:lineRule="auto"/>
        <w:ind w:left="720"/>
        <w:contextualSpacing w:val="0"/>
        <w:jc w:val="both"/>
        <w:rPr>
          <w:rFonts w:cs="Arial"/>
          <w:sz w:val="20"/>
          <w:lang w:val="en-US"/>
        </w:rPr>
      </w:pPr>
      <w:r w:rsidRPr="0066181A">
        <w:rPr>
          <w:rFonts w:cs="Arial"/>
          <w:sz w:val="20"/>
          <w:lang w:val="en-US"/>
        </w:rPr>
        <w:t>Strengthen the capacity of individuals, communities, systems and state to cope with and recover from possible future shocks;</w:t>
      </w:r>
    </w:p>
    <w:p w14:paraId="1637C101" w14:textId="77777777" w:rsidR="004002DA" w:rsidRPr="0066181A" w:rsidRDefault="004002DA" w:rsidP="002A6590">
      <w:pPr>
        <w:pStyle w:val="ListParagraph"/>
        <w:numPr>
          <w:ilvl w:val="0"/>
          <w:numId w:val="17"/>
        </w:numPr>
        <w:spacing w:line="240" w:lineRule="auto"/>
        <w:ind w:left="720"/>
        <w:contextualSpacing w:val="0"/>
        <w:jc w:val="both"/>
        <w:rPr>
          <w:rFonts w:cs="Arial"/>
          <w:sz w:val="20"/>
          <w:lang w:val="en-US"/>
        </w:rPr>
      </w:pPr>
      <w:r w:rsidRPr="0066181A">
        <w:rPr>
          <w:rFonts w:cs="Arial"/>
          <w:sz w:val="20"/>
          <w:lang w:val="en-US"/>
        </w:rPr>
        <w:t>Support a process of transformation leading to self-sustainability, improvement and growth;</w:t>
      </w:r>
    </w:p>
    <w:p w14:paraId="73F40F6A" w14:textId="77777777" w:rsidR="004002DA" w:rsidRPr="0066181A" w:rsidRDefault="004002DA" w:rsidP="002A6590">
      <w:pPr>
        <w:pStyle w:val="ListParagraph"/>
        <w:numPr>
          <w:ilvl w:val="0"/>
          <w:numId w:val="17"/>
        </w:numPr>
        <w:spacing w:line="240" w:lineRule="auto"/>
        <w:ind w:left="720"/>
        <w:contextualSpacing w:val="0"/>
        <w:jc w:val="both"/>
        <w:rPr>
          <w:rFonts w:cs="Arial"/>
          <w:sz w:val="20"/>
          <w:lang w:val="en-US"/>
        </w:rPr>
      </w:pPr>
      <w:r w:rsidRPr="0066181A">
        <w:rPr>
          <w:rFonts w:cs="Arial"/>
          <w:sz w:val="20"/>
          <w:lang w:val="en-US"/>
        </w:rPr>
        <w:t>Optimize existing resources by investing in more durable solutions and avoiding parallel mechanisms;</w:t>
      </w:r>
    </w:p>
    <w:p w14:paraId="75003D5B" w14:textId="77777777" w:rsidR="004002DA" w:rsidRPr="0066181A" w:rsidRDefault="004002DA" w:rsidP="002A6590">
      <w:pPr>
        <w:pStyle w:val="ListParagraph"/>
        <w:numPr>
          <w:ilvl w:val="0"/>
          <w:numId w:val="17"/>
        </w:numPr>
        <w:spacing w:line="240" w:lineRule="auto"/>
        <w:ind w:left="720"/>
        <w:contextualSpacing w:val="0"/>
        <w:jc w:val="both"/>
        <w:rPr>
          <w:rFonts w:cs="Arial"/>
          <w:sz w:val="20"/>
          <w:lang w:val="en-US"/>
        </w:rPr>
      </w:pPr>
      <w:r w:rsidRPr="0066181A">
        <w:rPr>
          <w:rFonts w:cs="Arial"/>
          <w:sz w:val="20"/>
          <w:lang w:val="en-US"/>
        </w:rPr>
        <w:t>Strengthen infrastructure and national capacities to be more sustainable over the longer-term;</w:t>
      </w:r>
    </w:p>
    <w:p w14:paraId="253EC2F9" w14:textId="77777777" w:rsidR="004002DA" w:rsidRPr="0066181A" w:rsidRDefault="004002DA" w:rsidP="002A6590">
      <w:pPr>
        <w:pStyle w:val="ListParagraph"/>
        <w:numPr>
          <w:ilvl w:val="0"/>
          <w:numId w:val="17"/>
        </w:numPr>
        <w:spacing w:line="240" w:lineRule="auto"/>
        <w:ind w:left="720"/>
        <w:contextualSpacing w:val="0"/>
        <w:jc w:val="both"/>
        <w:rPr>
          <w:rFonts w:cs="Arial"/>
          <w:sz w:val="20"/>
          <w:lang w:val="en-US"/>
        </w:rPr>
      </w:pPr>
      <w:r w:rsidRPr="0066181A">
        <w:rPr>
          <w:rFonts w:cs="Arial"/>
          <w:sz w:val="20"/>
          <w:lang w:val="en-US"/>
        </w:rPr>
        <w:t>Support employment generation and livelihoods;</w:t>
      </w:r>
    </w:p>
    <w:p w14:paraId="73CA881F" w14:textId="77777777" w:rsidR="004002DA" w:rsidRPr="0066181A" w:rsidRDefault="004002DA" w:rsidP="002A6590">
      <w:pPr>
        <w:pStyle w:val="ListParagraph"/>
        <w:numPr>
          <w:ilvl w:val="0"/>
          <w:numId w:val="17"/>
        </w:numPr>
        <w:spacing w:line="240" w:lineRule="auto"/>
        <w:ind w:left="720"/>
        <w:contextualSpacing w:val="0"/>
        <w:jc w:val="both"/>
        <w:rPr>
          <w:rFonts w:cs="Arial"/>
          <w:sz w:val="20"/>
          <w:lang w:val="en-US"/>
        </w:rPr>
      </w:pPr>
      <w:r w:rsidRPr="0066181A">
        <w:rPr>
          <w:rFonts w:cs="Arial"/>
          <w:sz w:val="20"/>
          <w:lang w:val="en-US"/>
        </w:rPr>
        <w:t>Encourage a greater contribution of women to growth and sustainable solutions; and</w:t>
      </w:r>
    </w:p>
    <w:p w14:paraId="3BD4F9E9" w14:textId="77777777" w:rsidR="004002DA" w:rsidRPr="0066181A" w:rsidRDefault="004002DA" w:rsidP="002A6590">
      <w:pPr>
        <w:pStyle w:val="ListParagraph"/>
        <w:numPr>
          <w:ilvl w:val="0"/>
          <w:numId w:val="17"/>
        </w:numPr>
        <w:spacing w:line="240" w:lineRule="auto"/>
        <w:ind w:left="720"/>
        <w:contextualSpacing w:val="0"/>
        <w:jc w:val="both"/>
        <w:rPr>
          <w:rFonts w:cs="Arial"/>
          <w:sz w:val="20"/>
          <w:lang w:val="en-US"/>
        </w:rPr>
      </w:pPr>
      <w:r w:rsidRPr="0066181A">
        <w:rPr>
          <w:rFonts w:cs="Arial"/>
          <w:sz w:val="20"/>
          <w:lang w:val="en-US"/>
        </w:rPr>
        <w:t>Improve environmental performance and providing a cleaner, healthier and more productive environment to the population.</w:t>
      </w:r>
    </w:p>
    <w:p w14:paraId="748421CE" w14:textId="77777777" w:rsidR="004002DA" w:rsidRPr="0066181A" w:rsidRDefault="004002DA" w:rsidP="004002DA">
      <w:pPr>
        <w:spacing w:before="240" w:after="240"/>
        <w:rPr>
          <w:rFonts w:cs="Arial"/>
          <w:b/>
          <w:bCs/>
          <w:sz w:val="20"/>
          <w:highlight w:val="yellow"/>
          <w:lang w:val="en-US"/>
        </w:rPr>
      </w:pPr>
      <w:r w:rsidRPr="0066181A">
        <w:rPr>
          <w:rFonts w:cs="Arial"/>
          <w:b/>
          <w:bCs/>
          <w:sz w:val="20"/>
          <w:lang w:val="en-US"/>
        </w:rPr>
        <w:t xml:space="preserve">Programme Framework: </w:t>
      </w:r>
    </w:p>
    <w:p w14:paraId="0C11C497" w14:textId="77777777" w:rsidR="004002DA" w:rsidRPr="0066181A" w:rsidRDefault="004002DA" w:rsidP="004002DA">
      <w:pPr>
        <w:spacing w:before="240" w:after="240"/>
        <w:rPr>
          <w:rFonts w:cs="Arial"/>
          <w:noProof/>
          <w:sz w:val="20"/>
          <w:lang w:val="en-US"/>
        </w:rPr>
      </w:pPr>
      <w:r w:rsidRPr="0066181A">
        <w:rPr>
          <w:rFonts w:cs="Arial"/>
          <w:sz w:val="20"/>
          <w:lang w:val="en-US"/>
        </w:rPr>
        <w:t>25. The programme framework that underpins the IPR articulates an approach for strengthening resilience. Resilience is defined as the absorptive, adaptive and transformative capacities at different levels, when faced with shocks. The approach is to link short-, medium- and longer-term measures, and support the community and national and local counterparts to act based on informed decisions. Informed decisions are the result of strong coordination and cooperation mechanisms in place, which is a key element for the success of this programme.</w:t>
      </w:r>
    </w:p>
    <w:p w14:paraId="20AF85F0" w14:textId="77777777" w:rsidR="004002DA" w:rsidRPr="0066181A" w:rsidRDefault="004002DA" w:rsidP="004002DA">
      <w:pPr>
        <w:spacing w:before="240" w:after="240"/>
        <w:rPr>
          <w:rFonts w:cs="Arial"/>
          <w:b/>
          <w:bCs/>
          <w:sz w:val="20"/>
          <w:lang w:val="en-US"/>
        </w:rPr>
      </w:pPr>
    </w:p>
    <w:p w14:paraId="08B1FAB1" w14:textId="77777777" w:rsidR="004002DA" w:rsidRPr="0041504B" w:rsidRDefault="004002DA" w:rsidP="004002DA">
      <w:pPr>
        <w:spacing w:before="240" w:after="240"/>
        <w:rPr>
          <w:rFonts w:asciiTheme="minorBidi" w:hAnsiTheme="minorBidi" w:cstheme="minorBidi"/>
          <w:b/>
          <w:bCs/>
          <w:sz w:val="20"/>
        </w:rPr>
      </w:pPr>
      <w:r w:rsidRPr="0041504B">
        <w:rPr>
          <w:rFonts w:asciiTheme="minorBidi" w:hAnsiTheme="minorBidi" w:cstheme="minorBidi"/>
          <w:noProof/>
        </w:rPr>
        <w:lastRenderedPageBreak/>
        <w:drawing>
          <wp:inline distT="0" distB="0" distL="0" distR="0" wp14:anchorId="4031AAE8" wp14:editId="4C76649E">
            <wp:extent cx="6083300" cy="357195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9686" t="7498" r="12362" b="11128"/>
                    <a:stretch/>
                  </pic:blipFill>
                  <pic:spPr bwMode="auto">
                    <a:xfrm>
                      <a:off x="0" y="0"/>
                      <a:ext cx="6087840" cy="3574624"/>
                    </a:xfrm>
                    <a:prstGeom prst="rect">
                      <a:avLst/>
                    </a:prstGeom>
                    <a:noFill/>
                    <a:ln>
                      <a:noFill/>
                    </a:ln>
                    <a:extLst>
                      <a:ext uri="{53640926-AAD7-44D8-BBD7-CCE9431645EC}">
                        <a14:shadowObscured xmlns:a14="http://schemas.microsoft.com/office/drawing/2010/main"/>
                      </a:ext>
                    </a:extLst>
                  </pic:spPr>
                </pic:pic>
              </a:graphicData>
            </a:graphic>
          </wp:inline>
        </w:drawing>
      </w:r>
    </w:p>
    <w:p w14:paraId="2EEB1C1D" w14:textId="77777777" w:rsidR="004002DA" w:rsidRPr="0066181A" w:rsidRDefault="004002DA" w:rsidP="004002DA">
      <w:pPr>
        <w:rPr>
          <w:rFonts w:cs="Arial"/>
          <w:iCs/>
          <w:sz w:val="20"/>
          <w:lang w:val="en-US"/>
        </w:rPr>
      </w:pPr>
      <w:r w:rsidRPr="0066181A">
        <w:rPr>
          <w:rFonts w:cs="Arial"/>
          <w:iCs/>
          <w:sz w:val="20"/>
          <w:lang w:val="en-US"/>
        </w:rPr>
        <w:t>The above outlined framework is based on the following assumptions:</w:t>
      </w:r>
    </w:p>
    <w:p w14:paraId="0CA246C6" w14:textId="77777777" w:rsidR="004002DA" w:rsidRPr="0066181A" w:rsidRDefault="004002DA" w:rsidP="002A6590">
      <w:pPr>
        <w:pStyle w:val="ListParagraph"/>
        <w:numPr>
          <w:ilvl w:val="0"/>
          <w:numId w:val="19"/>
        </w:numPr>
        <w:spacing w:after="60" w:line="240" w:lineRule="auto"/>
        <w:contextualSpacing w:val="0"/>
        <w:jc w:val="both"/>
        <w:rPr>
          <w:rFonts w:cs="Arial"/>
          <w:iCs/>
          <w:sz w:val="20"/>
          <w:lang w:val="en-US"/>
        </w:rPr>
      </w:pPr>
      <w:r w:rsidRPr="0066181A">
        <w:rPr>
          <w:rFonts w:cs="Arial"/>
          <w:iCs/>
          <w:sz w:val="20"/>
          <w:lang w:val="en-US"/>
        </w:rPr>
        <w:t>The combination of immediate</w:t>
      </w:r>
      <w:r w:rsidRPr="0066181A">
        <w:rPr>
          <w:rFonts w:cs="Arial"/>
          <w:sz w:val="20"/>
          <w:lang w:val="en-US"/>
        </w:rPr>
        <w:t xml:space="preserve"> –</w:t>
      </w:r>
      <w:r w:rsidRPr="0066181A">
        <w:rPr>
          <w:rFonts w:cs="Arial"/>
          <w:iCs/>
          <w:sz w:val="20"/>
          <w:lang w:val="en-US"/>
        </w:rPr>
        <w:t>short</w:t>
      </w:r>
      <w:r w:rsidRPr="0066181A">
        <w:rPr>
          <w:rFonts w:cs="Arial"/>
          <w:sz w:val="20"/>
          <w:lang w:val="en-US"/>
        </w:rPr>
        <w:t>-</w:t>
      </w:r>
      <w:r w:rsidRPr="0066181A">
        <w:rPr>
          <w:rFonts w:cs="Arial"/>
          <w:iCs/>
          <w:sz w:val="20"/>
          <w:lang w:val="en-US"/>
        </w:rPr>
        <w:t>term response in support to the most affected sector (health sector), and the medium</w:t>
      </w:r>
      <w:r w:rsidRPr="0066181A">
        <w:rPr>
          <w:rFonts w:cs="Arial"/>
          <w:sz w:val="20"/>
          <w:lang w:val="en-US"/>
        </w:rPr>
        <w:t>-</w:t>
      </w:r>
      <w:r w:rsidRPr="0066181A">
        <w:rPr>
          <w:rFonts w:cs="Arial"/>
          <w:iCs/>
          <w:sz w:val="20"/>
          <w:lang w:val="en-US"/>
        </w:rPr>
        <w:t xml:space="preserve"> to longer</w:t>
      </w:r>
      <w:r w:rsidRPr="0066181A">
        <w:rPr>
          <w:rFonts w:cs="Arial"/>
          <w:sz w:val="20"/>
          <w:lang w:val="en-US"/>
        </w:rPr>
        <w:t>-</w:t>
      </w:r>
      <w:r w:rsidRPr="0066181A">
        <w:rPr>
          <w:rFonts w:cs="Arial"/>
          <w:iCs/>
          <w:sz w:val="20"/>
          <w:lang w:val="en-US"/>
        </w:rPr>
        <w:t>term socio-economic response, contributes to strengthening community resilience;</w:t>
      </w:r>
    </w:p>
    <w:p w14:paraId="4881E349" w14:textId="77777777" w:rsidR="004002DA" w:rsidRPr="0066181A" w:rsidRDefault="004002DA" w:rsidP="002A6590">
      <w:pPr>
        <w:pStyle w:val="ListParagraph"/>
        <w:numPr>
          <w:ilvl w:val="0"/>
          <w:numId w:val="19"/>
        </w:numPr>
        <w:spacing w:after="60" w:line="240" w:lineRule="auto"/>
        <w:contextualSpacing w:val="0"/>
        <w:jc w:val="both"/>
        <w:rPr>
          <w:rFonts w:cs="Arial"/>
          <w:sz w:val="20"/>
          <w:lang w:val="en-US"/>
        </w:rPr>
      </w:pPr>
      <w:r w:rsidRPr="0066181A">
        <w:rPr>
          <w:rFonts w:cs="Arial"/>
          <w:sz w:val="20"/>
          <w:lang w:val="en-US"/>
        </w:rPr>
        <w:t>Selected interventions reflect the community needs and priorities and are also aligned with the broader strategic priorities of the relevant ministries and;</w:t>
      </w:r>
    </w:p>
    <w:p w14:paraId="39F93AB1" w14:textId="77777777" w:rsidR="004002DA" w:rsidRPr="0066181A" w:rsidRDefault="004002DA" w:rsidP="002A6590">
      <w:pPr>
        <w:pStyle w:val="ListParagraph"/>
        <w:numPr>
          <w:ilvl w:val="0"/>
          <w:numId w:val="19"/>
        </w:numPr>
        <w:spacing w:after="60" w:line="240" w:lineRule="auto"/>
        <w:contextualSpacing w:val="0"/>
        <w:jc w:val="both"/>
        <w:rPr>
          <w:rFonts w:cs="Arial"/>
          <w:sz w:val="20"/>
          <w:lang w:val="en-US"/>
        </w:rPr>
      </w:pPr>
      <w:r w:rsidRPr="0066181A">
        <w:rPr>
          <w:rFonts w:cs="Arial"/>
          <w:sz w:val="20"/>
          <w:lang w:val="en-US"/>
        </w:rPr>
        <w:t>Investments in improved capacity of entities in managing the implemented community infrastructure initiatives will enhance sustainability and generate longer-term jobs; and</w:t>
      </w:r>
    </w:p>
    <w:p w14:paraId="294D639B" w14:textId="77777777" w:rsidR="004002DA" w:rsidRPr="0066181A" w:rsidRDefault="004002DA" w:rsidP="002A6590">
      <w:pPr>
        <w:pStyle w:val="ListParagraph"/>
        <w:numPr>
          <w:ilvl w:val="0"/>
          <w:numId w:val="19"/>
        </w:numPr>
        <w:spacing w:after="60" w:line="240" w:lineRule="auto"/>
        <w:contextualSpacing w:val="0"/>
        <w:jc w:val="both"/>
        <w:rPr>
          <w:rFonts w:cs="Arial"/>
          <w:sz w:val="20"/>
          <w:lang w:val="en-US"/>
        </w:rPr>
      </w:pPr>
      <w:r w:rsidRPr="0066181A">
        <w:rPr>
          <w:rFonts w:cs="Arial"/>
          <w:iCs/>
          <w:sz w:val="20"/>
          <w:lang w:val="en-US"/>
        </w:rPr>
        <w:t>Adjustments might be required at the activity level based on changing needs, due to the volatile situation that results from the COVID-19 crisis, but the outputs will continue to be valid</w:t>
      </w:r>
      <w:r w:rsidRPr="0066181A" w:rsidDel="009E5B38">
        <w:rPr>
          <w:rFonts w:cs="Arial"/>
          <w:iCs/>
          <w:sz w:val="20"/>
          <w:lang w:val="en-US"/>
        </w:rPr>
        <w:t>.</w:t>
      </w:r>
    </w:p>
    <w:p w14:paraId="18F2F9D8" w14:textId="77777777" w:rsidR="004002DA" w:rsidRPr="0066181A" w:rsidRDefault="004002DA" w:rsidP="004002DA">
      <w:pPr>
        <w:pStyle w:val="Caption"/>
        <w:keepNext/>
        <w:rPr>
          <w:rFonts w:ascii="Arial" w:hAnsi="Arial" w:cs="Arial"/>
          <w:sz w:val="20"/>
        </w:rPr>
      </w:pPr>
      <w:bookmarkStart w:id="10" w:name="_Toc40980608"/>
      <w:r w:rsidRPr="0066181A">
        <w:rPr>
          <w:rFonts w:ascii="Arial" w:hAnsi="Arial" w:cs="Arial"/>
          <w:sz w:val="20"/>
        </w:rPr>
        <w:t xml:space="preserve">Table </w:t>
      </w:r>
      <w:r w:rsidRPr="0066181A">
        <w:rPr>
          <w:rFonts w:ascii="Arial" w:hAnsi="Arial" w:cs="Arial"/>
          <w:color w:val="2B579A"/>
          <w:sz w:val="20"/>
          <w:shd w:val="clear" w:color="auto" w:fill="E6E6E6"/>
        </w:rPr>
        <w:fldChar w:fldCharType="begin"/>
      </w:r>
      <w:r w:rsidRPr="0066181A">
        <w:rPr>
          <w:rFonts w:ascii="Arial" w:hAnsi="Arial" w:cs="Arial"/>
          <w:sz w:val="20"/>
        </w:rPr>
        <w:instrText xml:space="preserve"> SEQ Table \* ARABIC </w:instrText>
      </w:r>
      <w:r w:rsidRPr="0066181A">
        <w:rPr>
          <w:rFonts w:ascii="Arial" w:hAnsi="Arial" w:cs="Arial"/>
          <w:color w:val="2B579A"/>
          <w:sz w:val="20"/>
          <w:shd w:val="clear" w:color="auto" w:fill="E6E6E6"/>
        </w:rPr>
        <w:fldChar w:fldCharType="separate"/>
      </w:r>
      <w:r w:rsidRPr="0066181A">
        <w:rPr>
          <w:rFonts w:ascii="Arial" w:hAnsi="Arial" w:cs="Arial"/>
          <w:noProof/>
          <w:sz w:val="20"/>
        </w:rPr>
        <w:t>1</w:t>
      </w:r>
      <w:r w:rsidRPr="0066181A">
        <w:rPr>
          <w:rFonts w:ascii="Arial" w:hAnsi="Arial" w:cs="Arial"/>
          <w:color w:val="2B579A"/>
          <w:sz w:val="20"/>
          <w:shd w:val="clear" w:color="auto" w:fill="E6E6E6"/>
        </w:rPr>
        <w:fldChar w:fldCharType="end"/>
      </w:r>
      <w:r w:rsidRPr="0066181A">
        <w:rPr>
          <w:rFonts w:ascii="Arial" w:hAnsi="Arial" w:cs="Arial"/>
          <w:sz w:val="20"/>
        </w:rPr>
        <w:t>: Secondary effects related to the implementation modality of the programme</w:t>
      </w:r>
      <w:bookmarkEnd w:id="10"/>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045"/>
        <w:gridCol w:w="5300"/>
      </w:tblGrid>
      <w:tr w:rsidR="004002DA" w:rsidRPr="0066181A" w14:paraId="3217C481" w14:textId="77777777" w:rsidTr="004002DA">
        <w:tc>
          <w:tcPr>
            <w:tcW w:w="4132" w:type="dxa"/>
            <w:shd w:val="clear" w:color="auto" w:fill="000080"/>
          </w:tcPr>
          <w:p w14:paraId="3C67805A" w14:textId="77777777" w:rsidR="004002DA" w:rsidRPr="0066181A" w:rsidRDefault="004002DA" w:rsidP="004002DA">
            <w:pPr>
              <w:spacing w:before="40" w:line="280" w:lineRule="atLeast"/>
              <w:contextualSpacing/>
              <w:rPr>
                <w:rFonts w:cs="Arial"/>
                <w:b/>
                <w:color w:val="FFFFFF"/>
                <w:sz w:val="20"/>
              </w:rPr>
            </w:pPr>
            <w:r w:rsidRPr="0066181A">
              <w:rPr>
                <w:rFonts w:cs="Arial"/>
                <w:b/>
                <w:color w:val="FFFFFF"/>
                <w:sz w:val="20"/>
              </w:rPr>
              <w:t>SECONDARY EFFECTS</w:t>
            </w:r>
          </w:p>
        </w:tc>
        <w:tc>
          <w:tcPr>
            <w:tcW w:w="5400" w:type="dxa"/>
            <w:shd w:val="clear" w:color="auto" w:fill="000080"/>
          </w:tcPr>
          <w:p w14:paraId="69B3CEF7" w14:textId="77777777" w:rsidR="004002DA" w:rsidRPr="0066181A" w:rsidRDefault="004002DA" w:rsidP="004002DA">
            <w:pPr>
              <w:spacing w:before="40" w:line="280" w:lineRule="atLeast"/>
              <w:contextualSpacing/>
              <w:rPr>
                <w:rFonts w:cs="Arial"/>
                <w:b/>
                <w:color w:val="FFFFFF"/>
                <w:sz w:val="20"/>
              </w:rPr>
            </w:pPr>
            <w:r w:rsidRPr="0066181A">
              <w:rPr>
                <w:rFonts w:cs="Arial"/>
                <w:b/>
                <w:color w:val="FFFFFF"/>
                <w:sz w:val="20"/>
              </w:rPr>
              <w:t xml:space="preserve">DESCRIPTION </w:t>
            </w:r>
          </w:p>
        </w:tc>
      </w:tr>
      <w:tr w:rsidR="004002DA" w:rsidRPr="006F767C" w14:paraId="542BC849" w14:textId="77777777" w:rsidTr="004002DA">
        <w:tc>
          <w:tcPr>
            <w:tcW w:w="4132" w:type="dxa"/>
            <w:shd w:val="clear" w:color="auto" w:fill="auto"/>
          </w:tcPr>
          <w:p w14:paraId="54DA5C7B" w14:textId="77777777" w:rsidR="004002DA" w:rsidRPr="0066181A" w:rsidRDefault="004002DA" w:rsidP="004002DA">
            <w:pPr>
              <w:spacing w:before="40"/>
              <w:contextualSpacing/>
              <w:rPr>
                <w:rFonts w:cs="Arial"/>
                <w:sz w:val="20"/>
                <w:lang w:val="en-US"/>
              </w:rPr>
            </w:pPr>
            <w:r w:rsidRPr="0066181A">
              <w:rPr>
                <w:rFonts w:cs="Arial"/>
                <w:sz w:val="20"/>
                <w:lang w:val="en-US"/>
              </w:rPr>
              <w:t>What are main expected effects related to the procurement strategy (e.g. local procurement supports local economy)</w:t>
            </w:r>
          </w:p>
        </w:tc>
        <w:tc>
          <w:tcPr>
            <w:tcW w:w="5400" w:type="dxa"/>
            <w:shd w:val="clear" w:color="auto" w:fill="auto"/>
          </w:tcPr>
          <w:p w14:paraId="581ACFCC" w14:textId="77777777" w:rsidR="004002DA" w:rsidRPr="0066181A" w:rsidRDefault="004002DA" w:rsidP="004002DA">
            <w:pPr>
              <w:spacing w:before="40"/>
              <w:contextualSpacing/>
              <w:rPr>
                <w:rFonts w:eastAsia="Arial" w:cs="Arial"/>
                <w:sz w:val="20"/>
                <w:lang w:val="en-US"/>
              </w:rPr>
            </w:pPr>
            <w:r w:rsidRPr="0066181A">
              <w:rPr>
                <w:rFonts w:eastAsia="Arial" w:cs="Arial"/>
                <w:sz w:val="20"/>
                <w:lang w:val="en-US"/>
              </w:rPr>
              <w:t>The procurement strategy will prioritize the provision of locally produced/sold products (where applicable) contributing to the local economy in the form of revenues and local employment. The procurement</w:t>
            </w:r>
          </w:p>
          <w:p w14:paraId="17A29B48" w14:textId="77777777" w:rsidR="004002DA" w:rsidRPr="0066181A" w:rsidRDefault="004002DA" w:rsidP="004002DA">
            <w:pPr>
              <w:spacing w:before="40"/>
              <w:contextualSpacing/>
              <w:rPr>
                <w:rFonts w:eastAsia="Arial" w:cs="Arial"/>
                <w:sz w:val="20"/>
                <w:highlight w:val="yellow"/>
                <w:lang w:val="en-US"/>
              </w:rPr>
            </w:pPr>
            <w:r w:rsidRPr="0066181A">
              <w:rPr>
                <w:rFonts w:eastAsia="Arial" w:cs="Arial"/>
                <w:sz w:val="20"/>
                <w:lang w:val="en-US"/>
              </w:rPr>
              <w:t xml:space="preserve"> of services, such as trainings, will be secured from the local market. This applies both to Outcome 1 procurement of health supply and Outcome 2 procurement of assets and equipment linked to the operation and management of health and community infrastructure services.</w:t>
            </w:r>
          </w:p>
        </w:tc>
      </w:tr>
      <w:tr w:rsidR="004002DA" w:rsidRPr="006F767C" w14:paraId="35229F01" w14:textId="77777777" w:rsidTr="004002DA">
        <w:tc>
          <w:tcPr>
            <w:tcW w:w="4132" w:type="dxa"/>
            <w:shd w:val="clear" w:color="auto" w:fill="auto"/>
          </w:tcPr>
          <w:p w14:paraId="2EAF7C07" w14:textId="77777777" w:rsidR="004002DA" w:rsidRPr="0066181A" w:rsidRDefault="004002DA" w:rsidP="004002DA">
            <w:pPr>
              <w:spacing w:before="40"/>
              <w:contextualSpacing/>
              <w:rPr>
                <w:rFonts w:cs="Arial"/>
                <w:sz w:val="20"/>
                <w:lang w:val="en-US"/>
              </w:rPr>
            </w:pPr>
            <w:r w:rsidRPr="0066181A">
              <w:rPr>
                <w:rFonts w:cs="Arial"/>
                <w:sz w:val="20"/>
                <w:lang w:val="en-US"/>
              </w:rPr>
              <w:t xml:space="preserve">What are main effects related to other implementation modalities (e.g. employment creation in small-scale </w:t>
            </w:r>
            <w:r w:rsidRPr="0066181A">
              <w:rPr>
                <w:rFonts w:cs="Arial"/>
                <w:sz w:val="20"/>
                <w:lang w:val="en-US"/>
              </w:rPr>
              <w:lastRenderedPageBreak/>
              <w:t>construction/ rehabilitation or training measures)</w:t>
            </w:r>
          </w:p>
        </w:tc>
        <w:tc>
          <w:tcPr>
            <w:tcW w:w="5400" w:type="dxa"/>
            <w:shd w:val="clear" w:color="auto" w:fill="auto"/>
          </w:tcPr>
          <w:p w14:paraId="1D35D46A" w14:textId="77777777" w:rsidR="004002DA" w:rsidRPr="0066181A" w:rsidRDefault="004002DA" w:rsidP="004002DA">
            <w:pPr>
              <w:spacing w:before="40" w:line="257" w:lineRule="auto"/>
              <w:contextualSpacing/>
              <w:rPr>
                <w:rFonts w:cs="Arial"/>
                <w:sz w:val="20"/>
                <w:lang w:val="en-US"/>
              </w:rPr>
            </w:pPr>
            <w:r w:rsidRPr="0066181A">
              <w:rPr>
                <w:rFonts w:eastAsia="Arial" w:cs="Arial"/>
                <w:sz w:val="20"/>
                <w:lang w:val="en-US"/>
              </w:rPr>
              <w:lastRenderedPageBreak/>
              <w:t xml:space="preserve">Under Outcome 1, employment opportunities will be generated through job placement of health workers in supporting the national efforts for tackling COVID-19 pandemic. Under Outcome 2, the programme will </w:t>
            </w:r>
            <w:r w:rsidRPr="0066181A">
              <w:rPr>
                <w:rFonts w:eastAsia="Arial" w:cs="Arial"/>
                <w:sz w:val="20"/>
                <w:lang w:val="en-US"/>
              </w:rPr>
              <w:lastRenderedPageBreak/>
              <w:t>generate short-term job opportunities as a result of the construction/rehabilitation activities in the health sector and community infrastructure and through training and capacity building initiatives. Longer term job opportunities will be generated through the management and operation of the targeted community infrastructure.</w:t>
            </w:r>
          </w:p>
        </w:tc>
      </w:tr>
      <w:tr w:rsidR="004002DA" w:rsidRPr="006F767C" w14:paraId="7FD41B1B" w14:textId="77777777" w:rsidTr="004002DA">
        <w:tc>
          <w:tcPr>
            <w:tcW w:w="4132" w:type="dxa"/>
            <w:shd w:val="clear" w:color="auto" w:fill="auto"/>
          </w:tcPr>
          <w:p w14:paraId="0C3AC18F" w14:textId="77777777" w:rsidR="004002DA" w:rsidRPr="0066181A" w:rsidRDefault="004002DA" w:rsidP="004002DA">
            <w:pPr>
              <w:spacing w:before="40"/>
              <w:contextualSpacing/>
              <w:rPr>
                <w:rFonts w:cs="Arial"/>
                <w:sz w:val="20"/>
                <w:lang w:val="en-US"/>
              </w:rPr>
            </w:pPr>
            <w:r w:rsidRPr="0066181A">
              <w:rPr>
                <w:rFonts w:cs="Arial"/>
                <w:sz w:val="20"/>
                <w:lang w:val="en-US"/>
              </w:rPr>
              <w:lastRenderedPageBreak/>
              <w:t xml:space="preserve">How are government, civil society, community-based capacities strengthened through implementation modalities (e.g. HACT improves capacities in certain areas etc.) </w:t>
            </w:r>
          </w:p>
        </w:tc>
        <w:tc>
          <w:tcPr>
            <w:tcW w:w="5400" w:type="dxa"/>
            <w:shd w:val="clear" w:color="auto" w:fill="auto"/>
          </w:tcPr>
          <w:p w14:paraId="45203668" w14:textId="77777777" w:rsidR="004002DA" w:rsidRPr="0066181A" w:rsidRDefault="004002DA" w:rsidP="004002DA">
            <w:pPr>
              <w:spacing w:before="40" w:line="257" w:lineRule="auto"/>
              <w:contextualSpacing/>
              <w:rPr>
                <w:rFonts w:cs="Arial"/>
                <w:sz w:val="20"/>
                <w:lang w:val="en-US"/>
              </w:rPr>
            </w:pPr>
            <w:r w:rsidRPr="0066181A">
              <w:rPr>
                <w:rFonts w:eastAsia="Arial" w:cs="Arial"/>
                <w:sz w:val="20"/>
                <w:lang w:val="en-US"/>
              </w:rPr>
              <w:t>Implementing Partner (IP) capacities will be enhanced through the deployment of UNDP mechanisms such as the especially Harmonized Approach to Cash Transfer (HACT) in addressing gaps and opportunities, and in transferring institutional knowledge of quality procedures, financial management, procurement services and project management capacities.</w:t>
            </w:r>
          </w:p>
        </w:tc>
      </w:tr>
    </w:tbl>
    <w:p w14:paraId="0720C729" w14:textId="77777777" w:rsidR="004002DA" w:rsidRPr="0066181A" w:rsidRDefault="004002DA" w:rsidP="004002DA">
      <w:pPr>
        <w:rPr>
          <w:rFonts w:cs="Arial"/>
          <w:sz w:val="20"/>
          <w:highlight w:val="lightGray"/>
          <w:lang w:val="en-US"/>
        </w:rPr>
      </w:pPr>
    </w:p>
    <w:p w14:paraId="0F851630" w14:textId="77777777" w:rsidR="004002DA" w:rsidRPr="0066181A" w:rsidRDefault="004002DA" w:rsidP="004002DA">
      <w:pPr>
        <w:pStyle w:val="Caption"/>
        <w:keepNext/>
        <w:rPr>
          <w:rFonts w:ascii="Arial" w:hAnsi="Arial" w:cs="Arial"/>
          <w:sz w:val="20"/>
        </w:rPr>
      </w:pPr>
      <w:bookmarkStart w:id="11" w:name="_Toc40980609"/>
    </w:p>
    <w:p w14:paraId="7FB0DBF1" w14:textId="77777777" w:rsidR="004002DA" w:rsidRPr="0066181A" w:rsidRDefault="004002DA" w:rsidP="004002DA">
      <w:pPr>
        <w:pStyle w:val="Caption"/>
        <w:keepNext/>
        <w:rPr>
          <w:rFonts w:ascii="Arial" w:hAnsi="Arial" w:cs="Arial"/>
          <w:sz w:val="20"/>
        </w:rPr>
      </w:pPr>
      <w:r w:rsidRPr="0066181A">
        <w:rPr>
          <w:rFonts w:ascii="Arial" w:hAnsi="Arial" w:cs="Arial"/>
          <w:sz w:val="20"/>
        </w:rPr>
        <w:t xml:space="preserve">Table </w:t>
      </w:r>
      <w:r w:rsidRPr="0066181A">
        <w:rPr>
          <w:rFonts w:ascii="Arial" w:hAnsi="Arial" w:cs="Arial"/>
          <w:color w:val="2B579A"/>
          <w:sz w:val="20"/>
        </w:rPr>
        <w:fldChar w:fldCharType="begin"/>
      </w:r>
      <w:r w:rsidRPr="0066181A">
        <w:rPr>
          <w:rFonts w:ascii="Arial" w:hAnsi="Arial" w:cs="Arial"/>
          <w:sz w:val="20"/>
        </w:rPr>
        <w:instrText xml:space="preserve"> SEQ Table \* ARABIC </w:instrText>
      </w:r>
      <w:r w:rsidRPr="0066181A">
        <w:rPr>
          <w:rFonts w:ascii="Arial" w:hAnsi="Arial" w:cs="Arial"/>
          <w:color w:val="2B579A"/>
          <w:sz w:val="20"/>
        </w:rPr>
        <w:fldChar w:fldCharType="separate"/>
      </w:r>
      <w:r w:rsidRPr="0066181A">
        <w:rPr>
          <w:rFonts w:ascii="Arial" w:hAnsi="Arial" w:cs="Arial"/>
          <w:noProof/>
          <w:sz w:val="20"/>
        </w:rPr>
        <w:t>2</w:t>
      </w:r>
      <w:r w:rsidRPr="0066181A">
        <w:rPr>
          <w:rFonts w:ascii="Arial" w:hAnsi="Arial" w:cs="Arial"/>
          <w:color w:val="2B579A"/>
          <w:sz w:val="20"/>
        </w:rPr>
        <w:fldChar w:fldCharType="end"/>
      </w:r>
      <w:r w:rsidRPr="0066181A">
        <w:rPr>
          <w:rFonts w:ascii="Arial" w:hAnsi="Arial" w:cs="Arial"/>
          <w:sz w:val="20"/>
        </w:rPr>
        <w:t>: Contribution to the SDGs</w:t>
      </w:r>
      <w:bookmarkEnd w:id="11"/>
    </w:p>
    <w:tbl>
      <w:tblPr>
        <w:tblW w:w="953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30"/>
        <w:gridCol w:w="6802"/>
      </w:tblGrid>
      <w:tr w:rsidR="004002DA" w:rsidRPr="006F767C" w14:paraId="7E3F00D7" w14:textId="77777777" w:rsidTr="004002DA">
        <w:trPr>
          <w:trHeight w:hRule="exact" w:val="454"/>
        </w:trPr>
        <w:tc>
          <w:tcPr>
            <w:tcW w:w="9532" w:type="dxa"/>
            <w:gridSpan w:val="2"/>
            <w:shd w:val="clear" w:color="auto" w:fill="000080"/>
          </w:tcPr>
          <w:p w14:paraId="3EF2A8B5" w14:textId="77777777" w:rsidR="004002DA" w:rsidRPr="0066181A" w:rsidRDefault="004002DA" w:rsidP="004002DA">
            <w:pPr>
              <w:spacing w:before="40" w:line="280" w:lineRule="atLeast"/>
              <w:contextualSpacing/>
              <w:jc w:val="center"/>
              <w:rPr>
                <w:rFonts w:cs="Arial"/>
                <w:b/>
                <w:bCs/>
                <w:color w:val="FFFFFF"/>
                <w:sz w:val="20"/>
                <w:lang w:val="en-US"/>
              </w:rPr>
            </w:pPr>
            <w:r w:rsidRPr="0066181A">
              <w:rPr>
                <w:rFonts w:cs="Arial"/>
                <w:b/>
                <w:bCs/>
                <w:color w:val="FFFFFF" w:themeColor="background1"/>
                <w:sz w:val="20"/>
                <w:lang w:val="en-US"/>
              </w:rPr>
              <w:t>MEASURES AND CONTRIBUTION TO SDGs</w:t>
            </w:r>
          </w:p>
        </w:tc>
      </w:tr>
      <w:tr w:rsidR="004002DA" w:rsidRPr="0066181A" w14:paraId="55F3E18A" w14:textId="77777777" w:rsidTr="004002DA">
        <w:trPr>
          <w:trHeight w:hRule="exact" w:val="454"/>
        </w:trPr>
        <w:tc>
          <w:tcPr>
            <w:tcW w:w="2730" w:type="dxa"/>
            <w:shd w:val="clear" w:color="auto" w:fill="auto"/>
          </w:tcPr>
          <w:p w14:paraId="5210372F" w14:textId="77777777" w:rsidR="004002DA" w:rsidRPr="0066181A" w:rsidRDefault="004002DA" w:rsidP="004002DA">
            <w:pPr>
              <w:spacing w:before="40" w:line="280" w:lineRule="atLeast"/>
              <w:contextualSpacing/>
              <w:rPr>
                <w:rFonts w:cs="Arial"/>
                <w:b/>
                <w:sz w:val="20"/>
              </w:rPr>
            </w:pPr>
            <w:r w:rsidRPr="0066181A">
              <w:rPr>
                <w:rFonts w:cs="Arial"/>
                <w:b/>
                <w:sz w:val="20"/>
              </w:rPr>
              <w:t xml:space="preserve">Main aspect                                       </w:t>
            </w:r>
          </w:p>
        </w:tc>
        <w:tc>
          <w:tcPr>
            <w:tcW w:w="6802" w:type="dxa"/>
            <w:shd w:val="clear" w:color="auto" w:fill="auto"/>
          </w:tcPr>
          <w:p w14:paraId="5321E24F" w14:textId="77777777" w:rsidR="004002DA" w:rsidRPr="0066181A" w:rsidRDefault="004002DA" w:rsidP="004002DA">
            <w:pPr>
              <w:spacing w:before="40" w:line="280" w:lineRule="atLeast"/>
              <w:contextualSpacing/>
              <w:rPr>
                <w:rFonts w:cs="Arial"/>
                <w:b/>
                <w:sz w:val="20"/>
              </w:rPr>
            </w:pPr>
            <w:r w:rsidRPr="0066181A">
              <w:rPr>
                <w:rFonts w:cs="Arial"/>
                <w:b/>
                <w:sz w:val="20"/>
              </w:rPr>
              <w:t xml:space="preserve">Description </w:t>
            </w:r>
          </w:p>
        </w:tc>
      </w:tr>
      <w:tr w:rsidR="004002DA" w:rsidRPr="006F767C" w14:paraId="566E2E8B" w14:textId="77777777" w:rsidTr="004002DA">
        <w:tc>
          <w:tcPr>
            <w:tcW w:w="2730" w:type="dxa"/>
            <w:shd w:val="clear" w:color="auto" w:fill="auto"/>
          </w:tcPr>
          <w:p w14:paraId="08205A1B" w14:textId="77777777" w:rsidR="004002DA" w:rsidRPr="0066181A" w:rsidRDefault="004002DA" w:rsidP="004002DA">
            <w:pPr>
              <w:spacing w:before="240" w:after="240"/>
              <w:contextualSpacing/>
              <w:rPr>
                <w:rFonts w:cs="Arial"/>
                <w:b/>
                <w:bCs/>
                <w:sz w:val="20"/>
                <w:lang w:val="en-US"/>
              </w:rPr>
            </w:pPr>
            <w:r w:rsidRPr="0066181A">
              <w:rPr>
                <w:rFonts w:cs="Arial"/>
                <w:b/>
                <w:bCs/>
                <w:sz w:val="20"/>
                <w:lang w:val="en-US"/>
              </w:rPr>
              <w:t xml:space="preserve">Outcome 1: </w:t>
            </w:r>
            <w:r w:rsidRPr="0066181A">
              <w:rPr>
                <w:rFonts w:cs="Arial"/>
                <w:sz w:val="20"/>
                <w:lang w:val="en-US"/>
              </w:rPr>
              <w:t xml:space="preserve"> Health response capacity of the government and partners strengthened to cope with the immediate needs of the COVID-19 crisis</w:t>
            </w:r>
          </w:p>
        </w:tc>
        <w:tc>
          <w:tcPr>
            <w:tcW w:w="6802" w:type="dxa"/>
            <w:shd w:val="clear" w:color="auto" w:fill="auto"/>
          </w:tcPr>
          <w:p w14:paraId="5C2D71A8" w14:textId="77777777" w:rsidR="004002DA" w:rsidRPr="0066181A" w:rsidRDefault="004002DA" w:rsidP="004002DA">
            <w:pPr>
              <w:spacing w:before="40"/>
              <w:contextualSpacing/>
              <w:rPr>
                <w:rFonts w:cs="Arial"/>
                <w:sz w:val="20"/>
                <w:lang w:val="en-US"/>
              </w:rPr>
            </w:pPr>
            <w:r w:rsidRPr="0066181A">
              <w:rPr>
                <w:rFonts w:cs="Arial"/>
                <w:sz w:val="20"/>
                <w:lang w:val="en-US"/>
              </w:rPr>
              <w:t>The interventions as part of the immediate response will contribute in advancing progress under SDG 3 - Ensuring healthy lives and promote well-being, SDG 16 - Promote peaceful and inclusive societies for sustainable development and SDG 17- Strengthen the means of implementation and revitalize the global partnership for sustainable development.</w:t>
            </w:r>
          </w:p>
        </w:tc>
      </w:tr>
      <w:tr w:rsidR="004002DA" w:rsidRPr="006F767C" w14:paraId="053CC01F" w14:textId="77777777" w:rsidTr="004002DA">
        <w:tc>
          <w:tcPr>
            <w:tcW w:w="2730" w:type="dxa"/>
            <w:shd w:val="clear" w:color="auto" w:fill="auto"/>
          </w:tcPr>
          <w:p w14:paraId="5BFC75A4" w14:textId="77777777" w:rsidR="004002DA" w:rsidRPr="0066181A" w:rsidRDefault="004002DA" w:rsidP="004002DA">
            <w:pPr>
              <w:spacing w:before="40"/>
              <w:contextualSpacing/>
              <w:rPr>
                <w:rFonts w:cs="Arial"/>
                <w:sz w:val="20"/>
                <w:highlight w:val="yellow"/>
                <w:lang w:val="en-US"/>
              </w:rPr>
            </w:pPr>
            <w:r w:rsidRPr="0066181A">
              <w:rPr>
                <w:rFonts w:cs="Arial"/>
                <w:b/>
                <w:bCs/>
                <w:sz w:val="20"/>
                <w:lang w:val="en-US"/>
              </w:rPr>
              <w:t xml:space="preserve">Outcome 2: </w:t>
            </w:r>
            <w:r w:rsidRPr="0066181A">
              <w:rPr>
                <w:rFonts w:cs="Arial"/>
                <w:sz w:val="20"/>
                <w:lang w:val="en-US"/>
              </w:rPr>
              <w:t>Resilience enhanced in marginalized areas for socio-economic recovery through rehabilitation and expansion of infrastructure and complementary measures</w:t>
            </w:r>
          </w:p>
        </w:tc>
        <w:tc>
          <w:tcPr>
            <w:tcW w:w="6802" w:type="dxa"/>
            <w:shd w:val="clear" w:color="auto" w:fill="auto"/>
          </w:tcPr>
          <w:p w14:paraId="7F3A0B09" w14:textId="77777777" w:rsidR="004002DA" w:rsidRPr="0066181A" w:rsidRDefault="004002DA" w:rsidP="004002DA">
            <w:pPr>
              <w:spacing w:before="40"/>
              <w:contextualSpacing/>
              <w:rPr>
                <w:rFonts w:cs="Arial"/>
                <w:sz w:val="20"/>
                <w:lang w:val="en-US"/>
              </w:rPr>
            </w:pPr>
            <w:r w:rsidRPr="0066181A">
              <w:rPr>
                <w:rFonts w:cs="Arial"/>
                <w:sz w:val="20"/>
                <w:lang w:val="en-US"/>
              </w:rPr>
              <w:t xml:space="preserve">This component of the IPR strategy aims at preserving the gains and where possible advancing the SDGs, particularly those that are most significantly affected by the health crisis. The efforts will contribute to the following: SDG 3 – Ensuring healthy lives and promote well-being; SDG 5 – Achieving gender equality; SDG 8 - Promote sustained, inclusive and sustainable economic growth, full and productive employment and decent work for all; SDG 9 - Build resilient infrastructure, promote inclusive and sustainable industrialization and foster innovation; SDG 10 - Reduce inequality within and among countries; SDG 11 - Make cities and human settlements inclusive, safe, resilient and sustainable; SDG 16 - Promote peaceful and inclusive societies for sustainable development and SDG 17 Strengthen the means of implementation and revitalize the global partnership for sustainable development. </w:t>
            </w:r>
          </w:p>
          <w:p w14:paraId="70C65F23" w14:textId="77777777" w:rsidR="004002DA" w:rsidRPr="0066181A" w:rsidRDefault="004002DA" w:rsidP="004002DA">
            <w:pPr>
              <w:spacing w:before="40"/>
              <w:contextualSpacing/>
              <w:rPr>
                <w:rFonts w:cs="Arial"/>
                <w:sz w:val="20"/>
                <w:lang w:val="en-US"/>
              </w:rPr>
            </w:pPr>
          </w:p>
        </w:tc>
      </w:tr>
    </w:tbl>
    <w:p w14:paraId="06A3293A" w14:textId="77777777" w:rsidR="004002DA" w:rsidRPr="0041504B" w:rsidRDefault="004002DA" w:rsidP="002A6590">
      <w:pPr>
        <w:pStyle w:val="Heading1"/>
        <w:keepNext/>
        <w:numPr>
          <w:ilvl w:val="0"/>
          <w:numId w:val="27"/>
        </w:numPr>
        <w:pBdr>
          <w:top w:val="single" w:sz="4" w:space="0" w:color="auto"/>
        </w:pBdr>
        <w:suppressAutoHyphens/>
        <w:spacing w:before="104" w:after="226" w:line="240" w:lineRule="auto"/>
        <w:jc w:val="both"/>
        <w:rPr>
          <w:rFonts w:asciiTheme="minorBidi" w:eastAsia="Segoe UI" w:hAnsiTheme="minorBidi" w:cstheme="minorBidi"/>
          <w:color w:val="333333"/>
          <w:sz w:val="18"/>
          <w:szCs w:val="18"/>
        </w:rPr>
      </w:pPr>
      <w:bookmarkStart w:id="12" w:name="_Toc48809748"/>
      <w:r w:rsidRPr="0041504B">
        <w:rPr>
          <w:rFonts w:asciiTheme="minorBidi" w:hAnsiTheme="minorBidi" w:cstheme="minorBidi"/>
          <w:sz w:val="20"/>
        </w:rPr>
        <w:t>Results and Partnerships</w:t>
      </w:r>
      <w:bookmarkEnd w:id="12"/>
      <w:r w:rsidRPr="0041504B">
        <w:rPr>
          <w:rFonts w:asciiTheme="minorBidi" w:hAnsiTheme="minorBidi" w:cstheme="minorBidi"/>
          <w:sz w:val="20"/>
        </w:rPr>
        <w:t xml:space="preserve"> </w:t>
      </w:r>
      <w:r w:rsidRPr="0041504B">
        <w:rPr>
          <w:rFonts w:asciiTheme="minorBidi" w:eastAsia="Segoe UI" w:hAnsiTheme="minorBidi" w:cstheme="minorBidi"/>
          <w:color w:val="333333"/>
          <w:sz w:val="18"/>
          <w:szCs w:val="18"/>
        </w:rPr>
        <w:t xml:space="preserve"> </w:t>
      </w:r>
    </w:p>
    <w:p w14:paraId="3C713FE1" w14:textId="77777777" w:rsidR="004002DA" w:rsidRPr="00F12C3C" w:rsidRDefault="004002DA" w:rsidP="004002DA">
      <w:pPr>
        <w:rPr>
          <w:rFonts w:cs="Arial"/>
          <w:iCs/>
          <w:sz w:val="20"/>
          <w:lang w:val="en-US"/>
        </w:rPr>
      </w:pPr>
      <w:r w:rsidRPr="00F12C3C">
        <w:rPr>
          <w:rFonts w:cs="Arial"/>
          <w:iCs/>
          <w:sz w:val="20"/>
          <w:lang w:val="en-US"/>
        </w:rPr>
        <w:t>26. The overarching objective of IPR is to reinforce resilience of marginalized communities</w:t>
      </w:r>
      <w:r w:rsidRPr="00F12C3C" w:rsidDel="008C554C">
        <w:rPr>
          <w:rFonts w:cs="Arial"/>
          <w:iCs/>
          <w:sz w:val="20"/>
          <w:lang w:val="en-US"/>
        </w:rPr>
        <w:t xml:space="preserve"> </w:t>
      </w:r>
      <w:r w:rsidRPr="00F12C3C">
        <w:rPr>
          <w:rFonts w:cs="Arial"/>
          <w:iCs/>
          <w:sz w:val="20"/>
          <w:lang w:val="en-US"/>
        </w:rPr>
        <w:t xml:space="preserve">and Palestinian institutions by addressing the immediate needs of COVID-19 and mitigating the medium- to </w:t>
      </w:r>
      <w:r w:rsidRPr="00F12C3C">
        <w:rPr>
          <w:rFonts w:cs="Arial"/>
          <w:iCs/>
          <w:sz w:val="20"/>
          <w:lang w:val="en-US"/>
        </w:rPr>
        <w:lastRenderedPageBreak/>
        <w:t>longer-term socio-economic effects.  In order to achieve this objective, the following programme outcomes, related outputs and activities are proposed:</w:t>
      </w:r>
    </w:p>
    <w:p w14:paraId="5FAC8236" w14:textId="77777777" w:rsidR="004002DA" w:rsidRPr="00F12C3C" w:rsidRDefault="004002DA" w:rsidP="004002DA">
      <w:pPr>
        <w:spacing w:before="240" w:after="240"/>
        <w:rPr>
          <w:rFonts w:cs="Arial"/>
          <w:b/>
          <w:bCs/>
          <w:sz w:val="20"/>
          <w:lang w:val="en-US"/>
        </w:rPr>
      </w:pPr>
      <w:r w:rsidRPr="00F12C3C">
        <w:rPr>
          <w:rFonts w:cs="Arial"/>
          <w:b/>
          <w:bCs/>
          <w:sz w:val="20"/>
          <w:lang w:val="en-US"/>
        </w:rPr>
        <w:t>Outcome 1: Health response capacity of the government and partners strengthened to cope with the immediate needs of the COVID-19 crisis</w:t>
      </w:r>
    </w:p>
    <w:p w14:paraId="780C4BE6" w14:textId="77777777" w:rsidR="004002DA" w:rsidRPr="00F12C3C" w:rsidRDefault="004002DA" w:rsidP="004002DA">
      <w:pPr>
        <w:spacing w:before="120" w:after="120"/>
        <w:rPr>
          <w:rFonts w:cs="Arial"/>
          <w:sz w:val="20"/>
          <w:lang w:val="en-US"/>
        </w:rPr>
      </w:pPr>
      <w:r w:rsidRPr="00F12C3C">
        <w:rPr>
          <w:rFonts w:cs="Arial"/>
          <w:sz w:val="20"/>
          <w:lang w:val="en-US"/>
        </w:rPr>
        <w:t xml:space="preserve">27.  This outcome aims at enhancing the preparedness and response capacity of the health system while also ensuring the continuity of essential healthcare provision during the COVID-19 crisis. It is in line with the national priorities of COVID-19 Response Plan for the oPt, the joint strategy of the humanitarian actors, including UNRWA, and with the Health Cluster’s Strategic Preparedness and Response Plan, published on 14 March 2020, which is designed to steer a coordinated effort in support of the Ministry of Health (MoH) and the overall efforts of the </w:t>
      </w:r>
      <w:proofErr w:type="spellStart"/>
      <w:r w:rsidRPr="00F12C3C">
        <w:rPr>
          <w:rFonts w:cs="Arial"/>
          <w:sz w:val="20"/>
          <w:lang w:val="en-US"/>
        </w:rPr>
        <w:t>GoP</w:t>
      </w:r>
      <w:proofErr w:type="spellEnd"/>
      <w:r w:rsidRPr="00F12C3C">
        <w:rPr>
          <w:rFonts w:cs="Arial"/>
          <w:sz w:val="20"/>
          <w:lang w:val="en-US"/>
        </w:rPr>
        <w:t xml:space="preserve">. </w:t>
      </w:r>
    </w:p>
    <w:p w14:paraId="0AC8A12E" w14:textId="77777777" w:rsidR="004002DA" w:rsidRPr="00F12C3C" w:rsidRDefault="004002DA" w:rsidP="004002DA">
      <w:pPr>
        <w:spacing w:before="120" w:after="120"/>
        <w:rPr>
          <w:rFonts w:cs="Arial"/>
          <w:sz w:val="20"/>
          <w:lang w:val="en-US"/>
        </w:rPr>
      </w:pPr>
      <w:r w:rsidRPr="00F12C3C">
        <w:rPr>
          <w:rFonts w:cs="Arial"/>
          <w:sz w:val="20"/>
          <w:lang w:val="en-US"/>
        </w:rPr>
        <w:t>28. The support will complement national efforts focused on strengthening health service providers in marginalized areas, coupled with assistance for increased deployment of health workers and provision of training and capacity building for staff to ensure an integrated response. This component will target hospitals which are particularly in need of support, with emphasis on East Jerusalem and Gaza (see Annex 3 for the selection criteria).</w:t>
      </w:r>
    </w:p>
    <w:p w14:paraId="4DDC2778" w14:textId="77777777" w:rsidR="004002DA" w:rsidRPr="00F12C3C" w:rsidRDefault="004002DA" w:rsidP="004002DA">
      <w:pPr>
        <w:spacing w:before="120" w:after="120"/>
        <w:rPr>
          <w:rFonts w:cs="Arial"/>
          <w:sz w:val="20"/>
          <w:lang w:val="en-US"/>
        </w:rPr>
      </w:pPr>
      <w:r w:rsidRPr="00F12C3C">
        <w:rPr>
          <w:rFonts w:cs="Arial"/>
          <w:sz w:val="20"/>
          <w:lang w:val="en-US"/>
        </w:rPr>
        <w:t xml:space="preserve">29.  The support to the hospitals will be coordinated with all partners active in the health sector, particularly in the COVID-19 crisis response assistance, particularly the MoH and WHO, through different coordination platforms such as the UNCT and with institutions financed by BMZ (GIZ and PTB). It is worth highlighting that hospitals in East Jerusalem are considered the major Palestinian health hubs for specialized treatment and key to reducing the cost of referrals of the Palestinian Ministry of Health. Deployment of health workers will contribute to strengthening the national response, while also creating short-term employment. </w:t>
      </w:r>
    </w:p>
    <w:p w14:paraId="11E3048F" w14:textId="77777777" w:rsidR="004002DA" w:rsidRPr="00F12C3C" w:rsidRDefault="004002DA" w:rsidP="004002DA">
      <w:pPr>
        <w:spacing w:before="120" w:after="120"/>
        <w:rPr>
          <w:rFonts w:cs="Arial"/>
          <w:b/>
          <w:bCs/>
          <w:sz w:val="20"/>
          <w:lang w:val="en-US"/>
        </w:rPr>
      </w:pPr>
      <w:r w:rsidRPr="00F12C3C">
        <w:rPr>
          <w:rFonts w:cs="Arial"/>
          <w:sz w:val="20"/>
          <w:lang w:val="en-US"/>
        </w:rPr>
        <w:t xml:space="preserve">30. Due to the unpredictable nature of the COVID-19 crisis and the continuously evolving needs, this component will be adjusted with regard to the geographical distribution of the support (Area C, East Jerusalem, Gaza), as well as weighting across the components (e.g. health workers vs. equipment) based on prevailing circumstances at the time of implementation, in order to ensure it is relevant and in line with the most critical needs. Adjustments will be made - in close consultations between </w:t>
      </w:r>
      <w:proofErr w:type="spellStart"/>
      <w:r w:rsidRPr="00F12C3C">
        <w:rPr>
          <w:rFonts w:cs="Arial"/>
          <w:sz w:val="20"/>
          <w:lang w:val="en-US"/>
        </w:rPr>
        <w:t>KfW</w:t>
      </w:r>
      <w:proofErr w:type="spellEnd"/>
      <w:r w:rsidRPr="00F12C3C">
        <w:rPr>
          <w:rFonts w:cs="Arial"/>
          <w:sz w:val="20"/>
          <w:lang w:val="en-US"/>
        </w:rPr>
        <w:t xml:space="preserve">, UNDP and the national counterparts – particularly the MoH, and key UN agencies such as WHO.  </w:t>
      </w:r>
    </w:p>
    <w:p w14:paraId="4D328CE2" w14:textId="77777777" w:rsidR="004002DA" w:rsidRPr="00F12C3C" w:rsidRDefault="004002DA" w:rsidP="004002DA">
      <w:pPr>
        <w:spacing w:before="120" w:after="120"/>
        <w:rPr>
          <w:rFonts w:cs="Arial"/>
          <w:sz w:val="20"/>
          <w:lang w:val="en-US"/>
        </w:rPr>
      </w:pPr>
      <w:r w:rsidRPr="00F12C3C">
        <w:rPr>
          <w:rFonts w:cs="Arial"/>
          <w:sz w:val="20"/>
          <w:lang w:val="en-US"/>
        </w:rPr>
        <w:t xml:space="preserve">31. There are two aspects to be considered from a gender equality and gender mainstreaming perspective under this outcome: women as service providers and women as service recipients. As mentioned above, approximately 70% of front-line health workers are women in the Palestinian Territory. Although initial indications show that many young women are increasingly preoccupied with child-care needs due to the closure of schools, and other additional care burden at home, under output 1.2 UNDP will make a deliberate effort to increase the participation of young women who are unemployed, as they have the highest percentage of unemployment particularly in Gaza. On the other hand, all three outputs </w:t>
      </w:r>
      <w:r w:rsidRPr="00F12C3C">
        <w:rPr>
          <w:rFonts w:cs="Arial"/>
          <w:sz w:val="20"/>
          <w:lang w:val="en-US"/>
        </w:rPr>
        <w:lastRenderedPageBreak/>
        <w:t xml:space="preserve">will lead to a significant benefit for women, as they will be major recipients of improved availability and quality of healthcare. </w:t>
      </w:r>
    </w:p>
    <w:p w14:paraId="27539704" w14:textId="77777777" w:rsidR="004002DA" w:rsidRDefault="004002DA" w:rsidP="004002DA">
      <w:pPr>
        <w:spacing w:before="120" w:after="120"/>
        <w:rPr>
          <w:rFonts w:cs="Arial"/>
          <w:sz w:val="20"/>
          <w:lang w:val="en-US"/>
        </w:rPr>
      </w:pPr>
      <w:r w:rsidRPr="00F12C3C">
        <w:rPr>
          <w:rFonts w:cs="Arial"/>
          <w:sz w:val="20"/>
          <w:lang w:val="en-US"/>
        </w:rPr>
        <w:t>32. In order to achieve this outcome, the following outputs and activities are envisaged:</w:t>
      </w:r>
    </w:p>
    <w:p w14:paraId="4CD530EB" w14:textId="77777777" w:rsidR="006F767C" w:rsidRPr="00F12C3C" w:rsidRDefault="006F767C" w:rsidP="004002DA">
      <w:pPr>
        <w:spacing w:before="120" w:after="120"/>
        <w:rPr>
          <w:rFonts w:cs="Arial"/>
          <w:b/>
          <w:bCs/>
          <w:sz w:val="20"/>
          <w:lang w:val="en-US"/>
        </w:rPr>
      </w:pPr>
    </w:p>
    <w:p w14:paraId="29C2979E" w14:textId="77777777" w:rsidR="004002DA" w:rsidRPr="00F12C3C" w:rsidRDefault="004002DA" w:rsidP="004002DA">
      <w:pPr>
        <w:spacing w:before="120" w:after="120"/>
        <w:rPr>
          <w:rFonts w:cs="Arial"/>
          <w:b/>
          <w:bCs/>
          <w:sz w:val="20"/>
          <w:lang w:val="en-US"/>
        </w:rPr>
      </w:pPr>
      <w:r w:rsidRPr="00F12C3C">
        <w:rPr>
          <w:rFonts w:cs="Arial"/>
          <w:b/>
          <w:bCs/>
          <w:sz w:val="20"/>
          <w:lang w:val="en-US"/>
        </w:rPr>
        <w:t xml:space="preserve">Output 1.1: Critical health facilities equipped, and health workers protected </w:t>
      </w:r>
    </w:p>
    <w:p w14:paraId="293F3F9F" w14:textId="77777777" w:rsidR="004002DA" w:rsidRPr="00F12C3C" w:rsidRDefault="004002DA" w:rsidP="004002DA">
      <w:pPr>
        <w:rPr>
          <w:rFonts w:cs="Arial"/>
          <w:sz w:val="20"/>
          <w:lang w:val="en-US"/>
        </w:rPr>
      </w:pPr>
      <w:r w:rsidRPr="00F12C3C">
        <w:rPr>
          <w:rFonts w:cs="Arial"/>
          <w:sz w:val="20"/>
          <w:lang w:val="en-US"/>
        </w:rPr>
        <w:t>This output will be achieved through the procurement and provision of personal protective equipment (PPE) for health workers as well as specialized equipment and supplies in support to critical health facilities in the West Bank and East Jerusalem, and Gaza. The proposed activities will ensure the continuation of health services provision and enhanced safety standards for health workers:</w:t>
      </w:r>
    </w:p>
    <w:p w14:paraId="7A788B94" w14:textId="77777777" w:rsidR="004002DA" w:rsidRPr="00F12C3C" w:rsidRDefault="004002DA" w:rsidP="004002DA">
      <w:pPr>
        <w:spacing w:before="120" w:after="120"/>
        <w:ind w:left="720"/>
        <w:rPr>
          <w:rFonts w:cs="Arial"/>
          <w:sz w:val="20"/>
          <w:lang w:val="en-US"/>
        </w:rPr>
      </w:pPr>
      <w:r w:rsidRPr="00F12C3C">
        <w:rPr>
          <w:rFonts w:cs="Arial"/>
          <w:b/>
          <w:sz w:val="20"/>
          <w:lang w:val="en-US"/>
        </w:rPr>
        <w:t>Activity 1.1.1</w:t>
      </w:r>
      <w:r w:rsidRPr="00F12C3C">
        <w:rPr>
          <w:rFonts w:cs="Arial"/>
          <w:sz w:val="20"/>
          <w:lang w:val="en-US"/>
        </w:rPr>
        <w:t xml:space="preserve">: Provision of personal protective equipment units (ref: PPEs) to health workers (e.g. masks, clothing, goggles, shoes cover, gloves, etc.) </w:t>
      </w:r>
    </w:p>
    <w:p w14:paraId="7D8F9E47" w14:textId="77777777" w:rsidR="004002DA" w:rsidRPr="00F12C3C" w:rsidRDefault="004002DA" w:rsidP="004002DA">
      <w:pPr>
        <w:spacing w:before="120" w:after="120"/>
        <w:ind w:left="720"/>
        <w:rPr>
          <w:rFonts w:eastAsia="Arial" w:cs="Arial"/>
          <w:sz w:val="20"/>
          <w:lang w:val="en-US"/>
        </w:rPr>
      </w:pPr>
      <w:r w:rsidRPr="00F12C3C">
        <w:rPr>
          <w:rFonts w:cs="Arial"/>
          <w:b/>
          <w:sz w:val="20"/>
          <w:lang w:val="en-US"/>
        </w:rPr>
        <w:t>Activity 1.1.2</w:t>
      </w:r>
      <w:r w:rsidRPr="00F12C3C">
        <w:rPr>
          <w:rFonts w:cs="Arial"/>
          <w:sz w:val="20"/>
          <w:lang w:val="en-US"/>
        </w:rPr>
        <w:t>: Provision of sterilization equipment to health facilities (ref: fumigators, spray pumps, etc.)</w:t>
      </w:r>
    </w:p>
    <w:p w14:paraId="09B81131" w14:textId="77777777" w:rsidR="004002DA" w:rsidRPr="00F12C3C" w:rsidRDefault="004002DA" w:rsidP="004002DA">
      <w:pPr>
        <w:spacing w:before="120" w:after="120"/>
        <w:ind w:left="720"/>
        <w:rPr>
          <w:rFonts w:eastAsia="Arial" w:cs="Arial"/>
          <w:sz w:val="20"/>
          <w:lang w:val="en-US"/>
        </w:rPr>
      </w:pPr>
      <w:r w:rsidRPr="00F12C3C">
        <w:rPr>
          <w:rFonts w:cs="Arial"/>
          <w:b/>
          <w:sz w:val="20"/>
          <w:lang w:val="en-US"/>
        </w:rPr>
        <w:t>Activity 1.1.3</w:t>
      </w:r>
      <w:r w:rsidRPr="00F12C3C">
        <w:rPr>
          <w:rFonts w:cs="Arial"/>
          <w:sz w:val="20"/>
          <w:lang w:val="en-US"/>
        </w:rPr>
        <w:t>: Provision of medical tools to health facilities (ref: suction machines, syringe pumps, etc.)</w:t>
      </w:r>
    </w:p>
    <w:p w14:paraId="757840F7" w14:textId="77777777" w:rsidR="004002DA" w:rsidRPr="00F12C3C" w:rsidRDefault="004002DA" w:rsidP="004002DA">
      <w:pPr>
        <w:spacing w:before="120" w:after="120"/>
        <w:ind w:left="720"/>
        <w:rPr>
          <w:rFonts w:cs="Arial"/>
          <w:sz w:val="20"/>
          <w:lang w:val="en-US"/>
        </w:rPr>
      </w:pPr>
      <w:r w:rsidRPr="00F12C3C">
        <w:rPr>
          <w:rFonts w:cs="Arial"/>
          <w:b/>
          <w:sz w:val="20"/>
          <w:lang w:val="en-US"/>
        </w:rPr>
        <w:t>Activity 1.1.4:</w:t>
      </w:r>
      <w:r w:rsidRPr="00F12C3C">
        <w:rPr>
          <w:rFonts w:cs="Arial"/>
          <w:sz w:val="20"/>
          <w:lang w:val="en-US"/>
        </w:rPr>
        <w:t xml:space="preserve"> Provision and installation of treatment equipment in health facilities for intensive care units (ref: cardiac monitors and ventilators)</w:t>
      </w:r>
    </w:p>
    <w:p w14:paraId="21613E77" w14:textId="77777777" w:rsidR="004002DA" w:rsidRPr="00F12C3C" w:rsidRDefault="004002DA" w:rsidP="004002DA">
      <w:pPr>
        <w:spacing w:before="120" w:after="120"/>
        <w:rPr>
          <w:rFonts w:cs="Arial"/>
          <w:b/>
          <w:bCs/>
          <w:sz w:val="20"/>
          <w:lang w:val="en-US"/>
        </w:rPr>
      </w:pPr>
    </w:p>
    <w:p w14:paraId="2AA62317" w14:textId="77777777" w:rsidR="004002DA" w:rsidRPr="00F12C3C" w:rsidRDefault="004002DA" w:rsidP="004002DA">
      <w:pPr>
        <w:spacing w:before="120" w:after="120"/>
        <w:rPr>
          <w:rFonts w:cs="Arial"/>
          <w:b/>
          <w:bCs/>
          <w:sz w:val="20"/>
          <w:lang w:val="en-US"/>
        </w:rPr>
      </w:pPr>
      <w:r w:rsidRPr="00F12C3C">
        <w:rPr>
          <w:rFonts w:cs="Arial"/>
          <w:b/>
          <w:bCs/>
          <w:sz w:val="20"/>
          <w:lang w:val="en-US"/>
        </w:rPr>
        <w:t xml:space="preserve">Output 1.2: Response capacities of health workers strengthened </w:t>
      </w:r>
    </w:p>
    <w:p w14:paraId="429CE440" w14:textId="77777777" w:rsidR="004002DA" w:rsidRPr="00F12C3C" w:rsidRDefault="004002DA" w:rsidP="004002DA">
      <w:pPr>
        <w:rPr>
          <w:rFonts w:cs="Arial"/>
          <w:sz w:val="20"/>
          <w:lang w:val="en-US"/>
        </w:rPr>
      </w:pPr>
      <w:r w:rsidRPr="00F12C3C">
        <w:rPr>
          <w:rFonts w:cs="Arial"/>
          <w:sz w:val="20"/>
          <w:lang w:val="en-US"/>
        </w:rPr>
        <w:t xml:space="preserve">This output consists of strengthening the health system response to the current health pandemic and preparedness for future crises through the training of health workers and by providing short term job opportunities to skilled and unskilled workers in the West Bank and East Jerusalem, and Gaza. </w:t>
      </w:r>
    </w:p>
    <w:p w14:paraId="17ED3C40" w14:textId="77777777" w:rsidR="004002DA" w:rsidRPr="00F12C3C" w:rsidRDefault="004002DA" w:rsidP="004002DA">
      <w:pPr>
        <w:rPr>
          <w:rFonts w:cs="Arial"/>
          <w:sz w:val="20"/>
          <w:lang w:val="en-US"/>
        </w:rPr>
      </w:pPr>
    </w:p>
    <w:p w14:paraId="032D244B" w14:textId="77777777" w:rsidR="004002DA" w:rsidRPr="00F12C3C" w:rsidRDefault="004002DA" w:rsidP="004002DA">
      <w:pPr>
        <w:rPr>
          <w:rFonts w:cs="Arial"/>
          <w:sz w:val="20"/>
          <w:lang w:val="en-US"/>
        </w:rPr>
      </w:pPr>
      <w:r w:rsidRPr="00F12C3C">
        <w:rPr>
          <w:rFonts w:cs="Arial"/>
          <w:sz w:val="20"/>
          <w:lang w:val="en-US"/>
        </w:rPr>
        <w:t xml:space="preserve">As an example, according to MoH, over 3,000 (1,500 Gaza and 1,500 West Bank) health workers will need to be additionally deployed to support the health sector, which may increase, as the number of positive cases rises. Moreover, as seen around the world, the health workers themselves may become infected with the virus and thus unable to continue working. This implies that a higher number of health workers are needed due to these measures, and PPE and training for health workers to protect themselves will be a critical element of the intervention.  </w:t>
      </w:r>
    </w:p>
    <w:p w14:paraId="75D5F7D5" w14:textId="77777777" w:rsidR="004002DA" w:rsidRPr="00F12C3C" w:rsidRDefault="004002DA" w:rsidP="004002DA">
      <w:pPr>
        <w:rPr>
          <w:rFonts w:cs="Arial"/>
          <w:sz w:val="20"/>
          <w:lang w:val="en-US"/>
        </w:rPr>
      </w:pPr>
    </w:p>
    <w:p w14:paraId="2C919520" w14:textId="77777777" w:rsidR="004002DA" w:rsidRPr="00F12C3C" w:rsidRDefault="004002DA" w:rsidP="004002DA">
      <w:pPr>
        <w:rPr>
          <w:rFonts w:cs="Arial"/>
          <w:sz w:val="20"/>
          <w:lang w:val="en-US"/>
        </w:rPr>
      </w:pPr>
      <w:r w:rsidRPr="00F12C3C">
        <w:rPr>
          <w:rFonts w:cs="Arial"/>
          <w:sz w:val="20"/>
          <w:lang w:val="en-US"/>
        </w:rPr>
        <w:t>The proposed activities will ensure the continuation of essential health services delivery while the health system is overstretched due to the COVID 19 crisis:</w:t>
      </w:r>
    </w:p>
    <w:p w14:paraId="6812C902" w14:textId="77777777" w:rsidR="004002DA" w:rsidRPr="00F12C3C" w:rsidRDefault="004002DA" w:rsidP="004002DA">
      <w:pPr>
        <w:spacing w:before="120" w:after="120"/>
        <w:ind w:left="720"/>
        <w:rPr>
          <w:rFonts w:cs="Arial"/>
          <w:sz w:val="20"/>
          <w:lang w:val="en-US"/>
        </w:rPr>
      </w:pPr>
      <w:r w:rsidRPr="00F12C3C">
        <w:rPr>
          <w:rFonts w:cs="Arial"/>
          <w:b/>
          <w:bCs/>
          <w:sz w:val="20"/>
          <w:lang w:val="en-US"/>
        </w:rPr>
        <w:t>Activity 1.2.1</w:t>
      </w:r>
      <w:r w:rsidRPr="00F12C3C">
        <w:rPr>
          <w:rFonts w:cs="Arial"/>
          <w:sz w:val="20"/>
          <w:lang w:val="en-US"/>
        </w:rPr>
        <w:t>: Deployment of health workers (e.g. doctors, nurses, lab technicians) placed in health facilities for 6 months</w:t>
      </w:r>
    </w:p>
    <w:p w14:paraId="33B65082" w14:textId="77777777" w:rsidR="004002DA" w:rsidRPr="00F12C3C" w:rsidRDefault="004002DA" w:rsidP="004002DA">
      <w:pPr>
        <w:spacing w:before="120" w:after="120"/>
        <w:ind w:left="720"/>
        <w:rPr>
          <w:rFonts w:cs="Arial"/>
          <w:sz w:val="20"/>
          <w:lang w:val="en-US"/>
        </w:rPr>
      </w:pPr>
      <w:r w:rsidRPr="00F12C3C">
        <w:rPr>
          <w:rFonts w:cs="Arial"/>
          <w:b/>
          <w:bCs/>
          <w:sz w:val="20"/>
          <w:lang w:val="en-US"/>
        </w:rPr>
        <w:lastRenderedPageBreak/>
        <w:t>Activity 1.2.2</w:t>
      </w:r>
      <w:r w:rsidRPr="00F12C3C">
        <w:rPr>
          <w:rFonts w:cs="Arial"/>
          <w:sz w:val="20"/>
          <w:lang w:val="en-US"/>
        </w:rPr>
        <w:t>: Deployment of skilled/unskilled workers to disinfect/sterilize health facilities and provide support functions for 3 months</w:t>
      </w:r>
    </w:p>
    <w:p w14:paraId="743B4B96" w14:textId="77777777" w:rsidR="004002DA" w:rsidRPr="00F12C3C" w:rsidRDefault="004002DA" w:rsidP="004002DA">
      <w:pPr>
        <w:spacing w:before="120" w:after="120"/>
        <w:ind w:left="720"/>
        <w:rPr>
          <w:rFonts w:cs="Arial"/>
          <w:sz w:val="20"/>
          <w:lang w:val="en-US"/>
        </w:rPr>
      </w:pPr>
      <w:r w:rsidRPr="00F12C3C">
        <w:rPr>
          <w:rFonts w:cs="Arial"/>
          <w:b/>
          <w:bCs/>
          <w:sz w:val="20"/>
          <w:lang w:val="en-US"/>
        </w:rPr>
        <w:t>Activity 1.2.3</w:t>
      </w:r>
      <w:r w:rsidRPr="00F12C3C">
        <w:rPr>
          <w:rFonts w:cs="Arial"/>
          <w:sz w:val="20"/>
          <w:lang w:val="en-US"/>
        </w:rPr>
        <w:t>: Training of health workers to prepare for and respond to the health crisis</w:t>
      </w:r>
    </w:p>
    <w:p w14:paraId="21CFBAD2" w14:textId="77777777" w:rsidR="004002DA" w:rsidRDefault="004002DA" w:rsidP="004002DA">
      <w:pPr>
        <w:spacing w:before="120" w:after="120"/>
        <w:rPr>
          <w:rFonts w:cs="Arial"/>
          <w:b/>
          <w:bCs/>
          <w:sz w:val="20"/>
          <w:lang w:val="en-US"/>
        </w:rPr>
      </w:pPr>
    </w:p>
    <w:p w14:paraId="393ED18C" w14:textId="77777777" w:rsidR="006F767C" w:rsidRPr="00F12C3C" w:rsidRDefault="006F767C" w:rsidP="004002DA">
      <w:pPr>
        <w:spacing w:before="120" w:after="120"/>
        <w:rPr>
          <w:rFonts w:cs="Arial"/>
          <w:b/>
          <w:bCs/>
          <w:sz w:val="20"/>
          <w:lang w:val="en-US"/>
        </w:rPr>
      </w:pPr>
    </w:p>
    <w:p w14:paraId="39F9B7BC" w14:textId="77777777" w:rsidR="004002DA" w:rsidRPr="00F12C3C" w:rsidRDefault="004002DA" w:rsidP="004002DA">
      <w:pPr>
        <w:spacing w:before="120" w:after="120"/>
        <w:rPr>
          <w:rFonts w:cs="Arial"/>
          <w:b/>
          <w:bCs/>
          <w:sz w:val="20"/>
          <w:lang w:val="en-US"/>
        </w:rPr>
      </w:pPr>
      <w:r w:rsidRPr="00F12C3C">
        <w:rPr>
          <w:rFonts w:cs="Arial"/>
          <w:b/>
          <w:bCs/>
          <w:sz w:val="20"/>
          <w:lang w:val="en-US"/>
        </w:rPr>
        <w:t>Output 1.3: Disposal and treatment of medical waste enhanced</w:t>
      </w:r>
    </w:p>
    <w:p w14:paraId="3C0A72E6" w14:textId="77777777" w:rsidR="004002DA" w:rsidRPr="00F12C3C" w:rsidRDefault="004002DA" w:rsidP="004002DA">
      <w:pPr>
        <w:spacing w:before="120" w:after="120"/>
        <w:rPr>
          <w:rFonts w:cs="Arial"/>
          <w:b/>
          <w:bCs/>
          <w:sz w:val="20"/>
          <w:lang w:val="en-US"/>
        </w:rPr>
      </w:pPr>
      <w:r w:rsidRPr="00F12C3C">
        <w:rPr>
          <w:rFonts w:cs="Arial"/>
          <w:sz w:val="20"/>
          <w:lang w:val="en-US"/>
        </w:rPr>
        <w:t>This output will be achieved through procurement and placement of medical waste treatment devices and training of health personnel inside the health facilities and LGUs staff. The proposed activities will contribute to preventing contamination and mitigating health hazards related to improper disposal of medical waste:</w:t>
      </w:r>
    </w:p>
    <w:p w14:paraId="77E6C5F5" w14:textId="77777777" w:rsidR="004002DA" w:rsidRPr="00F12C3C" w:rsidRDefault="004002DA" w:rsidP="004002DA">
      <w:pPr>
        <w:spacing w:before="120" w:after="120"/>
        <w:ind w:left="720"/>
        <w:rPr>
          <w:rFonts w:cs="Arial"/>
          <w:sz w:val="20"/>
          <w:lang w:val="en-US"/>
        </w:rPr>
      </w:pPr>
      <w:r w:rsidRPr="00F12C3C">
        <w:rPr>
          <w:rFonts w:cs="Arial"/>
          <w:b/>
          <w:bCs/>
          <w:sz w:val="20"/>
          <w:lang w:val="en-US"/>
        </w:rPr>
        <w:t>Activity 1.3.1</w:t>
      </w:r>
      <w:r w:rsidRPr="00F12C3C">
        <w:rPr>
          <w:rFonts w:cs="Arial"/>
          <w:sz w:val="20"/>
          <w:lang w:val="en-US"/>
        </w:rPr>
        <w:t>: Training of health personnel inside the health facilities and LGUs staff</w:t>
      </w:r>
      <w:r w:rsidRPr="00F12C3C" w:rsidDel="00AF1A9A">
        <w:rPr>
          <w:rFonts w:cs="Arial"/>
          <w:sz w:val="20"/>
          <w:lang w:val="en-US"/>
        </w:rPr>
        <w:t xml:space="preserve"> </w:t>
      </w:r>
      <w:r w:rsidRPr="00F12C3C">
        <w:rPr>
          <w:rFonts w:cs="Arial"/>
          <w:sz w:val="20"/>
          <w:lang w:val="en-US"/>
        </w:rPr>
        <w:t>in the West Bank and East Jerusalem in treating medical waste</w:t>
      </w:r>
    </w:p>
    <w:p w14:paraId="6B453120" w14:textId="77777777" w:rsidR="004002DA" w:rsidRPr="00F12C3C" w:rsidRDefault="004002DA" w:rsidP="004002DA">
      <w:pPr>
        <w:spacing w:before="120" w:after="120"/>
        <w:ind w:left="720"/>
        <w:rPr>
          <w:rFonts w:cs="Arial"/>
          <w:sz w:val="20"/>
          <w:lang w:val="en-US"/>
        </w:rPr>
      </w:pPr>
      <w:r w:rsidRPr="00F12C3C">
        <w:rPr>
          <w:rFonts w:cs="Arial"/>
          <w:b/>
          <w:bCs/>
          <w:sz w:val="20"/>
          <w:lang w:val="en-US"/>
        </w:rPr>
        <w:t>Activity 1.3.2</w:t>
      </w:r>
      <w:r w:rsidRPr="00F12C3C">
        <w:rPr>
          <w:rFonts w:cs="Arial"/>
          <w:sz w:val="20"/>
          <w:lang w:val="en-US"/>
        </w:rPr>
        <w:t>: Procurement and installation of autoclaves and containers in 6 Hospitals in the West Bank</w:t>
      </w:r>
    </w:p>
    <w:p w14:paraId="587A92D5" w14:textId="77777777" w:rsidR="004002DA" w:rsidRPr="00F12C3C" w:rsidRDefault="004002DA" w:rsidP="004002DA">
      <w:pPr>
        <w:spacing w:before="240" w:after="240"/>
        <w:rPr>
          <w:rFonts w:cs="Arial"/>
          <w:b/>
          <w:bCs/>
          <w:sz w:val="20"/>
          <w:lang w:val="en-US"/>
        </w:rPr>
      </w:pPr>
      <w:r w:rsidRPr="00F12C3C">
        <w:rPr>
          <w:rFonts w:cs="Arial"/>
          <w:b/>
          <w:bCs/>
          <w:sz w:val="20"/>
          <w:lang w:val="en-US"/>
        </w:rPr>
        <w:t>Outcome 2: Resilience enhanced in marginalized areas for socio-economic recovery through rehabilitation and expansion of infrastructure and complementary measures</w:t>
      </w:r>
    </w:p>
    <w:p w14:paraId="715FD91B" w14:textId="77777777" w:rsidR="004002DA" w:rsidRPr="00F12C3C" w:rsidRDefault="004002DA" w:rsidP="004002DA">
      <w:pPr>
        <w:pStyle w:val="NormalWeb"/>
        <w:rPr>
          <w:rFonts w:ascii="Arial" w:hAnsi="Arial" w:cs="Arial"/>
          <w:color w:val="000000"/>
          <w:sz w:val="20"/>
          <w:szCs w:val="20"/>
          <w:lang w:val="en-GB"/>
        </w:rPr>
      </w:pPr>
      <w:r w:rsidRPr="00F12C3C">
        <w:rPr>
          <w:rFonts w:ascii="Arial" w:hAnsi="Arial" w:cs="Arial"/>
          <w:sz w:val="20"/>
          <w:szCs w:val="20"/>
        </w:rPr>
        <w:t xml:space="preserve">33. Outcome 2 is designed to complement the immediate health response during the COVID-19 crisis. Beyond the COVID-19 crisis, outcome 2 will become the core part of the IPR with focus on the rehabilitation and expansion of social and community infrastructure, and on community resilience. Its multi-sectoral nature contributes to transitioning the Programme from an immediate humanitarian response into recovery and medium to longer-term development support (HDP nexus). As the technical lead in the socio-economic recovery response to COVID-19, UNDP will play a key coordination and guidance role in support to the PMO socio-economic recovery efforts on behalf and in close collaboration with the UNCT.34. </w:t>
      </w:r>
    </w:p>
    <w:p w14:paraId="0518D7F3" w14:textId="77777777" w:rsidR="004002DA" w:rsidRPr="00F12C3C" w:rsidRDefault="004002DA" w:rsidP="004002DA">
      <w:pPr>
        <w:rPr>
          <w:rFonts w:cs="Arial"/>
          <w:color w:val="000000"/>
          <w:sz w:val="20"/>
          <w:lang w:val="en-US"/>
        </w:rPr>
      </w:pPr>
      <w:r w:rsidRPr="00F12C3C">
        <w:rPr>
          <w:rFonts w:cs="Arial"/>
          <w:sz w:val="20"/>
          <w:lang w:val="en-US"/>
        </w:rPr>
        <w:t xml:space="preserve">34. For achieving the outcome, the IPR will pursue an integrated approach that combines (a) the selection process with a clear focus on resilience, giving preference to vulnerable entities that have potential to increase resilience and social cohesion within their communities, (b) capacity building of these entities to strengthen their impact in this regard, and (c) thorough assessments and evaluation and impact studies to draw evidence and lessons for readjusting the programme approach to resilience.   </w:t>
      </w:r>
    </w:p>
    <w:p w14:paraId="25213190" w14:textId="77777777" w:rsidR="004002DA" w:rsidRPr="00F12C3C" w:rsidRDefault="004002DA" w:rsidP="004002DA">
      <w:pPr>
        <w:spacing w:before="120" w:after="120"/>
        <w:rPr>
          <w:rFonts w:cs="Arial"/>
          <w:b/>
          <w:bCs/>
          <w:sz w:val="20"/>
          <w:lang w:val="en-US"/>
        </w:rPr>
      </w:pPr>
      <w:r w:rsidRPr="00F12C3C">
        <w:rPr>
          <w:rFonts w:cs="Arial"/>
          <w:sz w:val="20"/>
          <w:lang w:val="en-US"/>
        </w:rPr>
        <w:t>35. In order to achieve this outcome, the following outputs and activities are envisaged:</w:t>
      </w:r>
    </w:p>
    <w:p w14:paraId="05772234" w14:textId="77777777" w:rsidR="004002DA" w:rsidRPr="00F12C3C" w:rsidRDefault="004002DA" w:rsidP="004002DA">
      <w:pPr>
        <w:spacing w:before="120" w:after="120"/>
        <w:rPr>
          <w:rFonts w:cs="Arial"/>
          <w:sz w:val="20"/>
          <w:lang w:val="en-US"/>
        </w:rPr>
      </w:pPr>
      <w:r w:rsidRPr="00F12C3C">
        <w:rPr>
          <w:rFonts w:cs="Arial"/>
          <w:b/>
          <w:bCs/>
          <w:sz w:val="20"/>
          <w:lang w:val="en-US"/>
        </w:rPr>
        <w:t>Output 2.1: Social and community infrastructure rehabilitated and/or expanded with focus on Gaza, East Jerusalem and Area C</w:t>
      </w:r>
      <w:r w:rsidRPr="00F12C3C">
        <w:rPr>
          <w:rFonts w:eastAsia="Arial" w:cs="Arial"/>
          <w:b/>
          <w:bCs/>
          <w:sz w:val="20"/>
          <w:lang w:val="en-US"/>
        </w:rPr>
        <w:t xml:space="preserve"> </w:t>
      </w:r>
    </w:p>
    <w:p w14:paraId="4667E3E8" w14:textId="77777777" w:rsidR="004002DA" w:rsidRPr="00F12C3C" w:rsidRDefault="004002DA" w:rsidP="004002DA">
      <w:pPr>
        <w:rPr>
          <w:rFonts w:cs="Arial"/>
          <w:sz w:val="20"/>
          <w:lang w:val="en-US"/>
        </w:rPr>
      </w:pPr>
      <w:r w:rsidRPr="00F12C3C">
        <w:rPr>
          <w:rFonts w:cs="Arial"/>
          <w:sz w:val="20"/>
          <w:lang w:val="en-US"/>
        </w:rPr>
        <w:t xml:space="preserve">36. Through this output, investments in community infrastructure and basic services will follow a strategic approach in addressing key drivers of vulnerabilities. These include poverty, unemployment, weakness of social services, geo-political constraints, absence of policy planning, disparities and new emerging socio-economic implications as a result of the COVID-19 crisis. Investments in community social infrastructure will play a pivotal role in reducing disparities, strengthening social cohesion, and enhancing community </w:t>
      </w:r>
      <w:r w:rsidRPr="00F12C3C">
        <w:rPr>
          <w:rFonts w:cs="Arial"/>
          <w:sz w:val="20"/>
          <w:lang w:val="en-US"/>
        </w:rPr>
        <w:lastRenderedPageBreak/>
        <w:t>engagement and decision-making (particularly women, youth, and people with disabilities). Interventions will also contribute to creating short-term employment opportunities through construction/rehabilitation works and long-term sustainable jobs for the operation and management of new or expanded services provided. Moreover, the suggested approach will contribute to strengthening local implementing partner capacities and provide a space for non-traditional activities to be proposed.</w:t>
      </w:r>
    </w:p>
    <w:p w14:paraId="1A9F0BE8" w14:textId="77777777" w:rsidR="004002DA" w:rsidRPr="00F12C3C" w:rsidRDefault="004002DA" w:rsidP="004002DA">
      <w:pPr>
        <w:spacing w:line="259" w:lineRule="auto"/>
        <w:rPr>
          <w:rFonts w:cs="Arial"/>
          <w:sz w:val="20"/>
          <w:lang w:val="en-US"/>
        </w:rPr>
      </w:pPr>
    </w:p>
    <w:p w14:paraId="629887D7" w14:textId="77777777" w:rsidR="004002DA" w:rsidRPr="00F12C3C" w:rsidRDefault="004002DA" w:rsidP="004002DA">
      <w:pPr>
        <w:spacing w:line="259" w:lineRule="auto"/>
        <w:rPr>
          <w:rFonts w:cs="Arial"/>
          <w:sz w:val="20"/>
          <w:lang w:val="en-US"/>
        </w:rPr>
      </w:pPr>
      <w:r w:rsidRPr="00F12C3C">
        <w:rPr>
          <w:rFonts w:cs="Arial"/>
          <w:sz w:val="20"/>
          <w:lang w:val="en-US"/>
        </w:rPr>
        <w:t xml:space="preserve">37. There will be a strong focus on ensuring women are benefiting not only as recipients of the services provided by the community infrastructure, but also as key actors in the identification of priorities, design of the interventions, delivery of services, and management and operations of the facilities. </w:t>
      </w:r>
    </w:p>
    <w:p w14:paraId="10A024AA" w14:textId="77777777" w:rsidR="004002DA" w:rsidRPr="00F12C3C" w:rsidRDefault="004002DA" w:rsidP="004002DA">
      <w:pPr>
        <w:spacing w:line="259" w:lineRule="auto"/>
        <w:rPr>
          <w:rFonts w:cs="Arial"/>
          <w:sz w:val="20"/>
          <w:lang w:val="en-US"/>
        </w:rPr>
      </w:pPr>
    </w:p>
    <w:p w14:paraId="6AAB5443" w14:textId="77777777" w:rsidR="004002DA" w:rsidRPr="00F12C3C" w:rsidRDefault="004002DA" w:rsidP="004002DA">
      <w:pPr>
        <w:rPr>
          <w:rFonts w:cs="Arial"/>
          <w:sz w:val="20"/>
          <w:lang w:val="en-US"/>
        </w:rPr>
      </w:pPr>
      <w:r w:rsidRPr="00F12C3C">
        <w:rPr>
          <w:rFonts w:cs="Arial"/>
          <w:sz w:val="20"/>
          <w:lang w:val="en-US"/>
        </w:rPr>
        <w:t>38. Building on the experience and lessons learnt from past and ongoing UNDP Programmes, the adoption of a transparent, participatory and inclusive approach with focus on resilience in the selection of communities to be targeted and interventions to be prioritized and implemented is proposed. During the inception phase, calls for proposals will be launched in the selected areas (Gaza, East Jerusalem, Area C) and proposals will be assessed against eligibility criteria and prioritization based on the selection scoring card (refer to Annex 3 for the selection criteria). The final selection will be validated and endorsed by the Project Board, following coordination with development partners to avoid duplication, ensure complementarities and linkages.</w:t>
      </w:r>
    </w:p>
    <w:p w14:paraId="49CC8B9F" w14:textId="77777777" w:rsidR="004002DA" w:rsidRPr="00F12C3C" w:rsidRDefault="004002DA" w:rsidP="004002DA">
      <w:pPr>
        <w:rPr>
          <w:rFonts w:cs="Arial"/>
          <w:sz w:val="20"/>
          <w:lang w:val="en-US"/>
        </w:rPr>
      </w:pPr>
    </w:p>
    <w:p w14:paraId="47152136" w14:textId="77777777" w:rsidR="004002DA" w:rsidRPr="00F12C3C" w:rsidRDefault="004002DA" w:rsidP="004002DA">
      <w:pPr>
        <w:rPr>
          <w:rFonts w:cs="Arial"/>
          <w:iCs/>
          <w:sz w:val="20"/>
          <w:lang w:val="en-US"/>
        </w:rPr>
      </w:pPr>
      <w:r w:rsidRPr="00F12C3C">
        <w:rPr>
          <w:rFonts w:cs="Arial"/>
          <w:iCs/>
          <w:sz w:val="20"/>
          <w:lang w:val="en-US"/>
        </w:rPr>
        <w:t>The output will be achieved through the following suggested activities:</w:t>
      </w:r>
    </w:p>
    <w:p w14:paraId="10A7F547" w14:textId="77777777" w:rsidR="004002DA" w:rsidRPr="00F12C3C" w:rsidRDefault="004002DA" w:rsidP="004002DA">
      <w:pPr>
        <w:spacing w:before="120" w:after="120"/>
        <w:ind w:left="720"/>
        <w:rPr>
          <w:rFonts w:cs="Arial"/>
          <w:sz w:val="20"/>
          <w:highlight w:val="yellow"/>
          <w:lang w:val="en-US"/>
        </w:rPr>
      </w:pPr>
      <w:r w:rsidRPr="00F12C3C">
        <w:rPr>
          <w:rFonts w:cs="Arial"/>
          <w:b/>
          <w:sz w:val="20"/>
          <w:lang w:val="en-US"/>
        </w:rPr>
        <w:t>Activity 2.1.1</w:t>
      </w:r>
      <w:r w:rsidRPr="00F12C3C">
        <w:rPr>
          <w:rFonts w:cs="Arial"/>
          <w:sz w:val="20"/>
          <w:lang w:val="en-US"/>
        </w:rPr>
        <w:t xml:space="preserve">: Launching calls for proposal for the selection of resilience interventions, with emphasis on health, basic services and community infrastructure </w:t>
      </w:r>
    </w:p>
    <w:p w14:paraId="16796469" w14:textId="77777777" w:rsidR="004002DA" w:rsidRPr="00F12C3C" w:rsidRDefault="004002DA" w:rsidP="004002DA">
      <w:pPr>
        <w:spacing w:before="120" w:after="120"/>
        <w:ind w:left="720"/>
        <w:rPr>
          <w:rFonts w:cs="Arial"/>
          <w:sz w:val="20"/>
          <w:u w:val="single"/>
          <w:lang w:val="en-US"/>
        </w:rPr>
      </w:pPr>
      <w:r w:rsidRPr="00F12C3C">
        <w:rPr>
          <w:rFonts w:cs="Arial"/>
          <w:b/>
          <w:bCs/>
          <w:sz w:val="20"/>
          <w:lang w:val="en-US"/>
        </w:rPr>
        <w:t>Activity 2.1.2:</w:t>
      </w:r>
      <w:r w:rsidRPr="00F12C3C">
        <w:rPr>
          <w:rFonts w:cs="Arial"/>
          <w:sz w:val="20"/>
          <w:lang w:val="en-US"/>
        </w:rPr>
        <w:t xml:space="preserve"> Validation and endorsement of prioritized interventions by the Steering Committee, in coordination with development partners</w:t>
      </w:r>
    </w:p>
    <w:p w14:paraId="4A0DCBCA" w14:textId="77777777" w:rsidR="004002DA" w:rsidRPr="00F12C3C" w:rsidRDefault="004002DA" w:rsidP="004002DA">
      <w:pPr>
        <w:spacing w:before="120" w:after="120"/>
        <w:ind w:left="720"/>
        <w:rPr>
          <w:rFonts w:cs="Arial"/>
          <w:sz w:val="20"/>
          <w:lang w:val="en-US"/>
        </w:rPr>
      </w:pPr>
      <w:r w:rsidRPr="00F12C3C">
        <w:rPr>
          <w:rFonts w:cs="Arial"/>
          <w:b/>
          <w:bCs/>
          <w:sz w:val="20"/>
          <w:lang w:val="en-US"/>
        </w:rPr>
        <w:t>Activity 2.1.3:</w:t>
      </w:r>
      <w:r w:rsidRPr="00F12C3C">
        <w:rPr>
          <w:rFonts w:cs="Arial"/>
          <w:sz w:val="20"/>
          <w:lang w:val="en-US"/>
        </w:rPr>
        <w:t xml:space="preserve"> Implementation of infrastructure with emphasis on health, basic services and community infrastructure</w:t>
      </w:r>
    </w:p>
    <w:p w14:paraId="0E4FCE57" w14:textId="77777777" w:rsidR="004002DA" w:rsidRPr="00F12C3C" w:rsidRDefault="004002DA" w:rsidP="004002DA">
      <w:pPr>
        <w:pStyle w:val="FarbigeListe-Akzent11"/>
        <w:ind w:left="0"/>
        <w:rPr>
          <w:rFonts w:cs="Arial"/>
          <w:sz w:val="20"/>
          <w:szCs w:val="20"/>
        </w:rPr>
      </w:pPr>
    </w:p>
    <w:p w14:paraId="26AB9DCC" w14:textId="77777777" w:rsidR="004002DA" w:rsidRPr="00F12C3C" w:rsidRDefault="004002DA" w:rsidP="004002DA">
      <w:pPr>
        <w:spacing w:before="120" w:after="120"/>
        <w:rPr>
          <w:rFonts w:eastAsia="Arial" w:cs="Arial"/>
          <w:b/>
          <w:bCs/>
          <w:sz w:val="20"/>
          <w:highlight w:val="yellow"/>
          <w:lang w:val="en-US"/>
        </w:rPr>
      </w:pPr>
      <w:r w:rsidRPr="00F12C3C">
        <w:rPr>
          <w:rFonts w:cs="Arial"/>
          <w:b/>
          <w:bCs/>
          <w:sz w:val="20"/>
          <w:lang w:val="en-US"/>
        </w:rPr>
        <w:t>Output 2.2: Capacity and resilience of entities improved to manage the infrastructure and to provide sustainable services and employment to the community</w:t>
      </w:r>
    </w:p>
    <w:p w14:paraId="20D16BCF" w14:textId="77777777" w:rsidR="004002DA" w:rsidRPr="00F12C3C" w:rsidRDefault="004002DA" w:rsidP="004002DA">
      <w:pPr>
        <w:rPr>
          <w:rFonts w:cs="Arial"/>
          <w:sz w:val="20"/>
          <w:lang w:val="en-US"/>
        </w:rPr>
      </w:pPr>
      <w:r w:rsidRPr="00F12C3C">
        <w:rPr>
          <w:rFonts w:eastAsia="Arial" w:cs="Arial"/>
          <w:sz w:val="20"/>
          <w:lang w:val="en-US"/>
        </w:rPr>
        <w:t>39. In order to ensure a sustainable usage of the targeted community infrastructure and to ensure it contributes to social cohesion and resilience, a specific focus is given under this output</w:t>
      </w:r>
      <w:r w:rsidRPr="00F12C3C">
        <w:rPr>
          <w:rFonts w:cs="Arial"/>
          <w:sz w:val="20"/>
          <w:lang w:val="en-US"/>
        </w:rPr>
        <w:t>,</w:t>
      </w:r>
      <w:r w:rsidRPr="00F12C3C">
        <w:rPr>
          <w:rFonts w:eastAsia="Arial" w:cs="Arial"/>
          <w:sz w:val="20"/>
          <w:lang w:val="en-US"/>
        </w:rPr>
        <w:t xml:space="preserve"> to targeted capacity development support based on gaps and opportunities analysis at two levels. First, technical assistance will be provided to support the development and implementation of service plans, </w:t>
      </w:r>
      <w:r w:rsidRPr="00F12C3C">
        <w:rPr>
          <w:rFonts w:cs="Arial"/>
          <w:sz w:val="20"/>
          <w:lang w:val="en-US"/>
        </w:rPr>
        <w:t xml:space="preserve">revenue management, cost efficiencies, competitiveness and economic return on investments. This will strengthen local capacities in the management and operation of community infrastructure, ensuring continuation and enhancement of quality services for the targeted beneficiaries. Second, capacities will be strengthened through the development of service plans and/or accompanying measures that help promoting processes of social cohesion and resilience. </w:t>
      </w:r>
    </w:p>
    <w:p w14:paraId="1D21AFBB" w14:textId="77777777" w:rsidR="004002DA" w:rsidRPr="00F12C3C" w:rsidRDefault="004002DA" w:rsidP="004002DA">
      <w:pPr>
        <w:rPr>
          <w:rFonts w:cs="Arial"/>
          <w:sz w:val="20"/>
          <w:lang w:val="en-US"/>
        </w:rPr>
      </w:pPr>
    </w:p>
    <w:p w14:paraId="305F5002" w14:textId="77777777" w:rsidR="004002DA" w:rsidRPr="00F12C3C" w:rsidRDefault="004002DA" w:rsidP="004002DA">
      <w:pPr>
        <w:rPr>
          <w:rFonts w:eastAsia="Arial" w:cs="Arial"/>
          <w:sz w:val="20"/>
          <w:lang w:val="en-US"/>
        </w:rPr>
      </w:pPr>
      <w:r w:rsidRPr="00F12C3C">
        <w:rPr>
          <w:rFonts w:eastAsia="Arial" w:cs="Arial"/>
          <w:sz w:val="20"/>
          <w:lang w:val="en-US"/>
        </w:rPr>
        <w:lastRenderedPageBreak/>
        <w:t xml:space="preserve">40. The interventions identified through the call for proposals will be validated by the community to ensure they respond to their needs, therefore contributing to enhanced local ownership and preservation of the investments. Once the community infrastructure investments are identified, as part of the service/operation and management plans, accompanying measures should be included to ensure the interventions contribute to strengthening social cohesion and community resilience. This could be rolled out at the local level, based on the specificity of each intervention, through the engagement of relevant stakeholders, including local government units, community leaders, local organizations and should include activities that focus specifically on social inclusion and non-violent </w:t>
      </w:r>
      <w:proofErr w:type="spellStart"/>
      <w:r w:rsidRPr="00F12C3C">
        <w:rPr>
          <w:rFonts w:eastAsia="Arial" w:cs="Arial"/>
          <w:sz w:val="20"/>
          <w:lang w:val="en-US"/>
        </w:rPr>
        <w:t>behaviours</w:t>
      </w:r>
      <w:proofErr w:type="spellEnd"/>
      <w:r w:rsidRPr="00F12C3C">
        <w:rPr>
          <w:rFonts w:eastAsia="Arial" w:cs="Arial"/>
          <w:sz w:val="20"/>
          <w:lang w:val="en-US"/>
        </w:rPr>
        <w:t>. The involvement of youth and women in such activities will be key for the success.</w:t>
      </w:r>
    </w:p>
    <w:p w14:paraId="538D239C" w14:textId="77777777" w:rsidR="004002DA" w:rsidRPr="00F12C3C" w:rsidRDefault="004002DA" w:rsidP="004002DA">
      <w:pPr>
        <w:rPr>
          <w:rFonts w:eastAsia="Arial" w:cs="Arial"/>
          <w:sz w:val="20"/>
          <w:lang w:val="en-US"/>
        </w:rPr>
      </w:pPr>
    </w:p>
    <w:p w14:paraId="689BEB11" w14:textId="77777777" w:rsidR="004002DA" w:rsidRPr="00F12C3C" w:rsidRDefault="004002DA" w:rsidP="004002DA">
      <w:pPr>
        <w:rPr>
          <w:rFonts w:eastAsia="Arial" w:cs="Arial"/>
          <w:sz w:val="20"/>
          <w:lang w:val="en-US"/>
        </w:rPr>
      </w:pPr>
      <w:r w:rsidRPr="00F12C3C">
        <w:rPr>
          <w:rFonts w:eastAsia="Arial" w:cs="Arial"/>
          <w:sz w:val="20"/>
          <w:lang w:val="en-US"/>
        </w:rPr>
        <w:t xml:space="preserve">41. For example: as part of the operation and management plan of a targeted kindergarten, social cohesion related activities should be included, to ensure the investment responds to both, the physical infrastructure needs as well as, social inclusion. Kindergartens could also serve as a space for parents to gather, share knowledge and communicate, building a social network within the community. </w:t>
      </w:r>
    </w:p>
    <w:p w14:paraId="4095CB62" w14:textId="77777777" w:rsidR="004002DA" w:rsidRPr="00F12C3C" w:rsidRDefault="004002DA" w:rsidP="004002DA">
      <w:pPr>
        <w:rPr>
          <w:rFonts w:eastAsia="Arial" w:cs="Arial"/>
          <w:sz w:val="20"/>
          <w:lang w:val="en-US"/>
        </w:rPr>
      </w:pPr>
    </w:p>
    <w:p w14:paraId="4DA85122" w14:textId="77777777" w:rsidR="004002DA" w:rsidRPr="00F12C3C" w:rsidRDefault="004002DA" w:rsidP="004002DA">
      <w:pPr>
        <w:rPr>
          <w:rFonts w:eastAsia="Arial" w:cs="Arial"/>
          <w:sz w:val="20"/>
          <w:lang w:val="en-US"/>
        </w:rPr>
      </w:pPr>
      <w:r w:rsidRPr="00F12C3C">
        <w:rPr>
          <w:rFonts w:eastAsia="Arial" w:cs="Arial"/>
          <w:sz w:val="20"/>
          <w:lang w:val="en-US"/>
        </w:rPr>
        <w:t xml:space="preserve">42. The same applies to investments in public spaces. Inclusion of specific activities in the operations and management plans of the targeted facility will not only provide meeting points for youth to practice their hobbies, but also contribute to building social bridges among them, strengthening social interaction and contributing to peaceful societies. </w:t>
      </w:r>
    </w:p>
    <w:p w14:paraId="4D3D59B8" w14:textId="77777777" w:rsidR="004002DA" w:rsidRPr="00F12C3C" w:rsidRDefault="004002DA" w:rsidP="004002DA">
      <w:pPr>
        <w:rPr>
          <w:rFonts w:eastAsia="Arial" w:cs="Arial"/>
          <w:sz w:val="20"/>
          <w:lang w:val="en-US"/>
        </w:rPr>
      </w:pPr>
    </w:p>
    <w:p w14:paraId="45A7D5EA" w14:textId="77777777" w:rsidR="004002DA" w:rsidRPr="00F12C3C" w:rsidRDefault="004002DA" w:rsidP="004002DA">
      <w:pPr>
        <w:rPr>
          <w:rFonts w:eastAsia="Arial" w:cs="Arial"/>
          <w:sz w:val="20"/>
          <w:lang w:val="en-US"/>
        </w:rPr>
      </w:pPr>
      <w:r w:rsidRPr="00F12C3C">
        <w:rPr>
          <w:rFonts w:eastAsia="Arial" w:cs="Arial"/>
          <w:sz w:val="20"/>
          <w:lang w:val="en-US"/>
        </w:rPr>
        <w:t xml:space="preserve">43. Finally, investments in culture heritage sites, beyond the enhanced economic development and environmental preservation benefits, if coupled with specific targeted activities, will generate positive social drivers, </w:t>
      </w:r>
      <w:proofErr w:type="spellStart"/>
      <w:r w:rsidRPr="00F12C3C">
        <w:rPr>
          <w:rFonts w:eastAsia="Arial" w:cs="Arial"/>
          <w:sz w:val="20"/>
          <w:lang w:val="en-US"/>
        </w:rPr>
        <w:t>valorising</w:t>
      </w:r>
      <w:proofErr w:type="spellEnd"/>
      <w:r w:rsidRPr="00F12C3C">
        <w:rPr>
          <w:rFonts w:eastAsia="Arial" w:cs="Arial"/>
          <w:sz w:val="20"/>
          <w:lang w:val="en-US"/>
        </w:rPr>
        <w:t xml:space="preserve"> the historic and cultural importance of the sites, strengthening Palestinian identity and contributing to enhanced resilience.</w:t>
      </w:r>
    </w:p>
    <w:p w14:paraId="52C64554" w14:textId="77777777" w:rsidR="004002DA" w:rsidRPr="00F12C3C" w:rsidRDefault="004002DA" w:rsidP="004002DA">
      <w:pPr>
        <w:rPr>
          <w:rFonts w:eastAsia="Arial" w:cs="Arial"/>
          <w:sz w:val="20"/>
          <w:lang w:val="en-US"/>
        </w:rPr>
      </w:pPr>
    </w:p>
    <w:p w14:paraId="1B5E80C2" w14:textId="77777777" w:rsidR="004002DA" w:rsidRPr="00F12C3C" w:rsidRDefault="004002DA" w:rsidP="004002DA">
      <w:pPr>
        <w:rPr>
          <w:rFonts w:cs="Arial"/>
          <w:iCs/>
          <w:sz w:val="20"/>
          <w:lang w:val="en-US"/>
        </w:rPr>
      </w:pPr>
      <w:r w:rsidRPr="00F12C3C">
        <w:rPr>
          <w:rFonts w:cs="Arial"/>
          <w:iCs/>
          <w:sz w:val="20"/>
          <w:lang w:val="en-US"/>
        </w:rPr>
        <w:t>44. The output will be achieved through the following suggested activities:</w:t>
      </w:r>
    </w:p>
    <w:p w14:paraId="137E52C5" w14:textId="77777777" w:rsidR="004002DA" w:rsidRPr="00F12C3C" w:rsidRDefault="004002DA" w:rsidP="004002DA">
      <w:pPr>
        <w:spacing w:before="120" w:after="120"/>
        <w:ind w:left="720"/>
        <w:rPr>
          <w:rFonts w:cs="Arial"/>
          <w:sz w:val="20"/>
          <w:lang w:val="en-US"/>
        </w:rPr>
      </w:pPr>
      <w:r w:rsidRPr="00F12C3C">
        <w:rPr>
          <w:rFonts w:cs="Arial"/>
          <w:b/>
          <w:bCs/>
          <w:sz w:val="20"/>
          <w:lang w:val="en-US"/>
        </w:rPr>
        <w:t>Activity 2.2.1:</w:t>
      </w:r>
      <w:r w:rsidRPr="00F12C3C">
        <w:rPr>
          <w:rFonts w:cs="Arial"/>
          <w:sz w:val="20"/>
          <w:lang w:val="en-US"/>
        </w:rPr>
        <w:t xml:space="preserve"> Analysis of initial service plans (including O&amp;M) and identification of gaps and opportunities </w:t>
      </w:r>
    </w:p>
    <w:p w14:paraId="7039FD32" w14:textId="77777777" w:rsidR="004002DA" w:rsidRPr="00F12C3C" w:rsidRDefault="004002DA" w:rsidP="004002DA">
      <w:pPr>
        <w:spacing w:before="120" w:after="120"/>
        <w:ind w:left="720"/>
        <w:rPr>
          <w:rFonts w:cs="Arial"/>
          <w:sz w:val="20"/>
          <w:lang w:val="en-US"/>
        </w:rPr>
      </w:pPr>
      <w:r w:rsidRPr="00F12C3C">
        <w:rPr>
          <w:rFonts w:cs="Arial"/>
          <w:b/>
          <w:bCs/>
          <w:sz w:val="20"/>
          <w:lang w:val="en-US"/>
        </w:rPr>
        <w:t>Activity 2.2.2:</w:t>
      </w:r>
      <w:r w:rsidRPr="00F12C3C">
        <w:rPr>
          <w:rFonts w:cs="Arial"/>
          <w:sz w:val="20"/>
          <w:lang w:val="en-US"/>
        </w:rPr>
        <w:t xml:space="preserve"> Technical support to strengthen capacities of targeted entities and ensure the implementation of the service plans, and support to local processes of social cohesion</w:t>
      </w:r>
    </w:p>
    <w:p w14:paraId="7BB358C1" w14:textId="77777777" w:rsidR="004002DA" w:rsidRPr="00F12C3C" w:rsidRDefault="004002DA" w:rsidP="004002DA">
      <w:pPr>
        <w:spacing w:before="120" w:after="120"/>
        <w:ind w:left="720"/>
        <w:rPr>
          <w:rFonts w:cs="Arial"/>
          <w:sz w:val="20"/>
          <w:lang w:val="en-US"/>
        </w:rPr>
      </w:pPr>
    </w:p>
    <w:p w14:paraId="2A60CC0A" w14:textId="77777777" w:rsidR="004002DA" w:rsidRPr="00F12C3C" w:rsidRDefault="004002DA" w:rsidP="004002DA">
      <w:pPr>
        <w:spacing w:before="120" w:after="120"/>
        <w:rPr>
          <w:rFonts w:cs="Arial"/>
          <w:sz w:val="20"/>
          <w:lang w:val="en-US"/>
        </w:rPr>
      </w:pPr>
      <w:r w:rsidRPr="00F12C3C">
        <w:rPr>
          <w:rFonts w:cs="Arial"/>
          <w:sz w:val="20"/>
          <w:lang w:val="en-US"/>
        </w:rPr>
        <w:t>45. Overall, sustainability will be ensured through the design of service plans for selected community infrastructure interventions, from the initial stages of implementation, and through continuous engagement of the committee before, during and after implementation.</w:t>
      </w:r>
    </w:p>
    <w:p w14:paraId="5E807313" w14:textId="77777777" w:rsidR="004002DA" w:rsidRPr="00F12C3C" w:rsidRDefault="004002DA" w:rsidP="004002DA">
      <w:pPr>
        <w:pStyle w:val="FarbigeListe-Akzent11"/>
        <w:spacing w:after="120" w:line="280" w:lineRule="atLeast"/>
        <w:ind w:left="0"/>
        <w:rPr>
          <w:rFonts w:cs="Arial"/>
          <w:sz w:val="20"/>
          <w:szCs w:val="20"/>
        </w:rPr>
      </w:pPr>
    </w:p>
    <w:p w14:paraId="00CB78C5" w14:textId="77777777" w:rsidR="004002DA" w:rsidRPr="00F12C3C" w:rsidRDefault="004002DA" w:rsidP="004002DA">
      <w:pPr>
        <w:pStyle w:val="FarbigeListe-Akzent11"/>
        <w:spacing w:after="120" w:line="280" w:lineRule="atLeast"/>
        <w:ind w:left="0"/>
        <w:contextualSpacing w:val="0"/>
        <w:rPr>
          <w:rFonts w:cs="Arial"/>
          <w:b/>
          <w:bCs/>
          <w:sz w:val="20"/>
          <w:szCs w:val="20"/>
          <w:highlight w:val="yellow"/>
        </w:rPr>
      </w:pPr>
      <w:r w:rsidRPr="00F12C3C">
        <w:rPr>
          <w:rFonts w:cs="Arial"/>
          <w:b/>
          <w:bCs/>
          <w:sz w:val="20"/>
          <w:szCs w:val="20"/>
        </w:rPr>
        <w:t xml:space="preserve">Beneficiaries: </w:t>
      </w:r>
      <w:bookmarkStart w:id="13" w:name="_Hlk9265596"/>
    </w:p>
    <w:p w14:paraId="18E4E161" w14:textId="77777777" w:rsidR="004002DA" w:rsidRPr="00F12C3C" w:rsidRDefault="004002DA" w:rsidP="00F12C3C">
      <w:pPr>
        <w:pStyle w:val="FarbigeListe-Akzent11"/>
        <w:spacing w:before="120" w:after="120" w:line="360" w:lineRule="auto"/>
        <w:ind w:left="0"/>
        <w:contextualSpacing w:val="0"/>
        <w:rPr>
          <w:rFonts w:cs="Arial"/>
          <w:bCs/>
          <w:sz w:val="20"/>
          <w:szCs w:val="20"/>
        </w:rPr>
      </w:pPr>
      <w:r w:rsidRPr="00F12C3C">
        <w:rPr>
          <w:rFonts w:cs="Arial"/>
          <w:sz w:val="20"/>
          <w:szCs w:val="20"/>
        </w:rPr>
        <w:t xml:space="preserve">46. The IPR aims to strengthen national capacities to respond to the critical needs of the marginalized communities in Palestinian Territory during COVID-19 pandemic and in the medium-long term recovery and </w:t>
      </w:r>
      <w:r w:rsidRPr="00F12C3C">
        <w:rPr>
          <w:rFonts w:cs="Arial"/>
          <w:sz w:val="20"/>
          <w:szCs w:val="20"/>
        </w:rPr>
        <w:lastRenderedPageBreak/>
        <w:t xml:space="preserve">resilience efforts, with specific focus on communities in Area C and rural areas of the West Bank, East Jerusalem and the Gaza Strip, who represents approximately half of the Palestinian population. </w:t>
      </w:r>
      <w:r w:rsidRPr="00F12C3C">
        <w:rPr>
          <w:rFonts w:cs="Arial"/>
          <w:b/>
          <w:sz w:val="20"/>
          <w:szCs w:val="20"/>
        </w:rPr>
        <w:t xml:space="preserve"> </w:t>
      </w:r>
      <w:r w:rsidRPr="00F12C3C">
        <w:rPr>
          <w:rFonts w:cs="Arial"/>
          <w:sz w:val="20"/>
          <w:szCs w:val="20"/>
        </w:rPr>
        <w:t>In line with the principle of leaving no on behind (LNOB), th</w:t>
      </w:r>
      <w:bookmarkEnd w:id="13"/>
      <w:r w:rsidRPr="00F12C3C">
        <w:rPr>
          <w:rFonts w:cs="Arial"/>
          <w:sz w:val="20"/>
          <w:szCs w:val="20"/>
        </w:rPr>
        <w:t xml:space="preserve">e primary beneficiaries are vulnerable groups and communities that are affected by multiple levels of vulnerability, which are often driven by geographic determinants (East Jerusalem, Gaza and Area C). Within these communities, women and youth, as well as disabled persons will be prioritised, alongside the relevant vulnerable groups in the targeted communities in line with the UN Common Country Analysis for the occupied Palestinian territory conducted in 2017. Moreover, recent assessments and analyses conducted by UNDP (e.g. local government units in West Bank and Gaza) and other UN agencies (e.g. UN Women on gender-differentiated impact of COVID-19), PCBS, Ministry of Labour, and the World Bank will be utilised to inform prioritisation.  </w:t>
      </w:r>
      <w:r w:rsidRPr="00F12C3C">
        <w:rPr>
          <w:rFonts w:cs="Arial"/>
          <w:bCs/>
          <w:sz w:val="20"/>
          <w:szCs w:val="20"/>
        </w:rPr>
        <w:t>Specific beneficiaries under each outcome is as follows:</w:t>
      </w:r>
    </w:p>
    <w:p w14:paraId="1FA7087A" w14:textId="77777777" w:rsidR="004002DA" w:rsidRPr="00F12C3C" w:rsidRDefault="004002DA" w:rsidP="004002DA">
      <w:pPr>
        <w:snapToGrid w:val="0"/>
        <w:spacing w:before="40" w:after="40"/>
        <w:rPr>
          <w:rFonts w:cs="Arial"/>
          <w:sz w:val="20"/>
          <w:lang w:val="en-US"/>
        </w:rPr>
      </w:pPr>
      <w:r w:rsidRPr="00F12C3C">
        <w:rPr>
          <w:rFonts w:cs="Arial"/>
          <w:sz w:val="20"/>
          <w:lang w:val="en-US"/>
        </w:rPr>
        <w:t>Outcome 1: health workers (e.g. doctors, nurses, technicians), medical waste treatment workers, hospital patients</w:t>
      </w:r>
    </w:p>
    <w:p w14:paraId="65FD052D" w14:textId="77777777" w:rsidR="004002DA" w:rsidRPr="00F12C3C" w:rsidRDefault="004002DA" w:rsidP="00F12C3C">
      <w:pPr>
        <w:pStyle w:val="FarbigeListe-Akzent11"/>
        <w:spacing w:before="120" w:after="120" w:line="360" w:lineRule="auto"/>
        <w:ind w:left="0"/>
        <w:contextualSpacing w:val="0"/>
        <w:rPr>
          <w:rFonts w:cs="Arial"/>
          <w:sz w:val="20"/>
          <w:szCs w:val="20"/>
        </w:rPr>
      </w:pPr>
      <w:r w:rsidRPr="00F12C3C">
        <w:rPr>
          <w:rFonts w:cs="Arial"/>
          <w:sz w:val="20"/>
          <w:szCs w:val="20"/>
        </w:rPr>
        <w:t xml:space="preserve">Outcome 2:  individuals with multiple vulnerabilities, who are most effected by the COVID19 crisis (e.g. women, youth, disabled); and social organizations, NGOs/CSOs. </w:t>
      </w:r>
    </w:p>
    <w:p w14:paraId="36BC712B" w14:textId="77777777" w:rsidR="004002DA" w:rsidRPr="0041504B" w:rsidRDefault="004002DA" w:rsidP="004002DA">
      <w:pPr>
        <w:pStyle w:val="FarbigeListe-Akzent11"/>
        <w:spacing w:before="120" w:after="120"/>
        <w:ind w:left="0"/>
        <w:rPr>
          <w:rFonts w:asciiTheme="minorBidi" w:hAnsiTheme="minorBidi" w:cstheme="minorBidi"/>
          <w:b/>
          <w:bCs/>
          <w:sz w:val="20"/>
          <w:szCs w:val="20"/>
        </w:rPr>
      </w:pPr>
    </w:p>
    <w:p w14:paraId="764E4A4C" w14:textId="77777777" w:rsidR="004002DA" w:rsidRPr="0041504B" w:rsidRDefault="004002DA" w:rsidP="004002DA">
      <w:pPr>
        <w:pStyle w:val="Caption"/>
        <w:keepNext/>
        <w:rPr>
          <w:rFonts w:asciiTheme="minorBidi" w:hAnsiTheme="minorBidi" w:cstheme="minorBidi"/>
        </w:rPr>
      </w:pPr>
      <w:bookmarkStart w:id="14" w:name="_Toc40980610"/>
      <w:r w:rsidRPr="0041504B">
        <w:rPr>
          <w:rFonts w:asciiTheme="minorBidi" w:hAnsiTheme="minorBidi" w:cstheme="minorBidi"/>
        </w:rPr>
        <w:t xml:space="preserve">Table </w:t>
      </w:r>
      <w:r w:rsidRPr="0041504B">
        <w:rPr>
          <w:rFonts w:asciiTheme="minorBidi" w:hAnsiTheme="minorBidi" w:cstheme="minorBidi"/>
          <w:color w:val="2B579A"/>
        </w:rPr>
        <w:fldChar w:fldCharType="begin"/>
      </w:r>
      <w:r w:rsidRPr="0041504B">
        <w:rPr>
          <w:rFonts w:asciiTheme="minorBidi" w:hAnsiTheme="minorBidi" w:cstheme="minorBidi"/>
        </w:rPr>
        <w:instrText xml:space="preserve"> SEQ Table \* ARABIC </w:instrText>
      </w:r>
      <w:r w:rsidRPr="0041504B">
        <w:rPr>
          <w:rFonts w:asciiTheme="minorBidi" w:hAnsiTheme="minorBidi" w:cstheme="minorBidi"/>
          <w:color w:val="2B579A"/>
        </w:rPr>
        <w:fldChar w:fldCharType="separate"/>
      </w:r>
      <w:r>
        <w:rPr>
          <w:rFonts w:asciiTheme="minorBidi" w:hAnsiTheme="minorBidi" w:cstheme="minorBidi"/>
          <w:noProof/>
        </w:rPr>
        <w:t>3</w:t>
      </w:r>
      <w:r w:rsidRPr="0041504B">
        <w:rPr>
          <w:rFonts w:asciiTheme="minorBidi" w:hAnsiTheme="minorBidi" w:cstheme="minorBidi"/>
          <w:color w:val="2B579A"/>
        </w:rPr>
        <w:fldChar w:fldCharType="end"/>
      </w:r>
      <w:r w:rsidRPr="0041504B">
        <w:rPr>
          <w:rFonts w:asciiTheme="minorBidi" w:hAnsiTheme="minorBidi" w:cstheme="minorBidi"/>
        </w:rPr>
        <w:t>: Direct and Indirect Beneficiaries</w:t>
      </w:r>
      <w:bookmarkEnd w:id="14"/>
    </w:p>
    <w:tbl>
      <w:tblPr>
        <w:tblW w:w="9540"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70"/>
        <w:gridCol w:w="1350"/>
        <w:gridCol w:w="810"/>
        <w:gridCol w:w="630"/>
        <w:gridCol w:w="1440"/>
        <w:gridCol w:w="810"/>
        <w:gridCol w:w="990"/>
        <w:gridCol w:w="1260"/>
        <w:gridCol w:w="1080"/>
      </w:tblGrid>
      <w:tr w:rsidR="004002DA" w:rsidRPr="0041504B" w14:paraId="1F296A30" w14:textId="77777777" w:rsidTr="004002DA">
        <w:trPr>
          <w:trHeight w:val="454"/>
        </w:trPr>
        <w:tc>
          <w:tcPr>
            <w:tcW w:w="1170" w:type="dxa"/>
            <w:shd w:val="clear" w:color="auto" w:fill="000080"/>
          </w:tcPr>
          <w:p w14:paraId="348530FC" w14:textId="77777777" w:rsidR="004002DA" w:rsidRPr="0041504B" w:rsidRDefault="004002DA" w:rsidP="004002DA">
            <w:pPr>
              <w:spacing w:before="40"/>
              <w:rPr>
                <w:rFonts w:asciiTheme="minorBidi" w:hAnsiTheme="minorBidi" w:cstheme="minorBidi"/>
                <w:b/>
                <w:color w:val="FFFFFF"/>
                <w:sz w:val="20"/>
              </w:rPr>
            </w:pPr>
          </w:p>
        </w:tc>
        <w:tc>
          <w:tcPr>
            <w:tcW w:w="4230" w:type="dxa"/>
            <w:gridSpan w:val="4"/>
            <w:shd w:val="clear" w:color="auto" w:fill="000080"/>
          </w:tcPr>
          <w:p w14:paraId="74B4F242" w14:textId="77777777" w:rsidR="004002DA" w:rsidRPr="0041504B" w:rsidRDefault="004002DA" w:rsidP="004002DA">
            <w:pPr>
              <w:spacing w:before="40" w:after="40"/>
              <w:jc w:val="center"/>
              <w:rPr>
                <w:rFonts w:asciiTheme="minorBidi" w:hAnsiTheme="minorBidi" w:cstheme="minorBidi"/>
                <w:b/>
                <w:color w:val="FFFFFF"/>
                <w:sz w:val="20"/>
              </w:rPr>
            </w:pPr>
            <w:r w:rsidRPr="0041504B">
              <w:rPr>
                <w:rFonts w:asciiTheme="minorBidi" w:hAnsiTheme="minorBidi" w:cstheme="minorBidi"/>
                <w:b/>
                <w:color w:val="FFFFFF"/>
                <w:sz w:val="20"/>
              </w:rPr>
              <w:t>Direct Beneficiaries</w:t>
            </w:r>
          </w:p>
        </w:tc>
        <w:tc>
          <w:tcPr>
            <w:tcW w:w="4140" w:type="dxa"/>
            <w:gridSpan w:val="4"/>
            <w:shd w:val="clear" w:color="auto" w:fill="000080"/>
          </w:tcPr>
          <w:p w14:paraId="5CBECF74" w14:textId="77777777" w:rsidR="004002DA" w:rsidRPr="0041504B" w:rsidRDefault="004002DA" w:rsidP="004002DA">
            <w:pPr>
              <w:spacing w:before="40" w:after="40"/>
              <w:jc w:val="center"/>
              <w:rPr>
                <w:rFonts w:asciiTheme="minorBidi" w:hAnsiTheme="minorBidi" w:cstheme="minorBidi"/>
                <w:b/>
                <w:color w:val="FFFFFF"/>
                <w:sz w:val="20"/>
              </w:rPr>
            </w:pPr>
            <w:r w:rsidRPr="0041504B">
              <w:rPr>
                <w:rFonts w:asciiTheme="minorBidi" w:hAnsiTheme="minorBidi" w:cstheme="minorBidi"/>
                <w:b/>
                <w:color w:val="FFFFFF"/>
                <w:sz w:val="20"/>
              </w:rPr>
              <w:t>Indirect Beneficiaries (as applicable)</w:t>
            </w:r>
          </w:p>
        </w:tc>
      </w:tr>
      <w:tr w:rsidR="004002DA" w:rsidRPr="006F767C" w14:paraId="0B6D7F22" w14:textId="77777777" w:rsidTr="004002DA">
        <w:tc>
          <w:tcPr>
            <w:tcW w:w="1170" w:type="dxa"/>
            <w:tcBorders>
              <w:top w:val="single" w:sz="6" w:space="0" w:color="000080"/>
              <w:left w:val="single" w:sz="6" w:space="0" w:color="000080"/>
              <w:bottom w:val="single" w:sz="6" w:space="0" w:color="000080"/>
              <w:right w:val="single" w:sz="6" w:space="0" w:color="000080"/>
            </w:tcBorders>
            <w:shd w:val="clear" w:color="auto" w:fill="auto"/>
          </w:tcPr>
          <w:p w14:paraId="12DB6D23" w14:textId="77777777" w:rsidR="004002DA" w:rsidRPr="00F12C3C" w:rsidRDefault="004002DA" w:rsidP="004002DA">
            <w:pPr>
              <w:spacing w:before="40" w:after="40"/>
              <w:jc w:val="center"/>
              <w:rPr>
                <w:rFonts w:cs="Arial"/>
                <w:bCs/>
                <w:sz w:val="20"/>
              </w:rPr>
            </w:pPr>
            <w:r w:rsidRPr="00F12C3C">
              <w:rPr>
                <w:rFonts w:cs="Arial"/>
                <w:bCs/>
                <w:sz w:val="20"/>
              </w:rPr>
              <w:t>Activity</w:t>
            </w:r>
          </w:p>
        </w:tc>
        <w:tc>
          <w:tcPr>
            <w:tcW w:w="1350" w:type="dxa"/>
            <w:tcBorders>
              <w:top w:val="single" w:sz="6" w:space="0" w:color="000080"/>
              <w:left w:val="single" w:sz="6" w:space="0" w:color="000080"/>
              <w:bottom w:val="single" w:sz="6" w:space="0" w:color="000080"/>
              <w:right w:val="single" w:sz="6" w:space="0" w:color="000080"/>
            </w:tcBorders>
            <w:shd w:val="clear" w:color="auto" w:fill="auto"/>
          </w:tcPr>
          <w:p w14:paraId="06F685F3" w14:textId="77777777" w:rsidR="004002DA" w:rsidRPr="00F12C3C" w:rsidRDefault="004002DA" w:rsidP="004002DA">
            <w:pPr>
              <w:spacing w:before="40" w:after="40"/>
              <w:jc w:val="center"/>
              <w:rPr>
                <w:rFonts w:cs="Arial"/>
                <w:bCs/>
                <w:sz w:val="20"/>
              </w:rPr>
            </w:pPr>
            <w:r w:rsidRPr="00F12C3C">
              <w:rPr>
                <w:rFonts w:cs="Arial"/>
                <w:bCs/>
                <w:sz w:val="20"/>
              </w:rPr>
              <w:t>Total</w:t>
            </w: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3A7D7187" w14:textId="77777777" w:rsidR="004002DA" w:rsidRPr="00F12C3C" w:rsidRDefault="004002DA" w:rsidP="004002DA">
            <w:pPr>
              <w:spacing w:before="40" w:after="40"/>
              <w:jc w:val="center"/>
              <w:rPr>
                <w:rFonts w:cs="Arial"/>
                <w:bCs/>
                <w:sz w:val="20"/>
              </w:rPr>
            </w:pPr>
            <w:r w:rsidRPr="00F12C3C">
              <w:rPr>
                <w:rFonts w:cs="Arial"/>
                <w:bCs/>
                <w:sz w:val="20"/>
              </w:rPr>
              <w:t>Female</w:t>
            </w:r>
          </w:p>
        </w:tc>
        <w:tc>
          <w:tcPr>
            <w:tcW w:w="630" w:type="dxa"/>
            <w:tcBorders>
              <w:top w:val="single" w:sz="6" w:space="0" w:color="000080"/>
              <w:left w:val="single" w:sz="6" w:space="0" w:color="000080"/>
              <w:bottom w:val="single" w:sz="6" w:space="0" w:color="000080"/>
              <w:right w:val="single" w:sz="6" w:space="0" w:color="000080"/>
            </w:tcBorders>
            <w:shd w:val="clear" w:color="auto" w:fill="auto"/>
          </w:tcPr>
          <w:p w14:paraId="79790EFF" w14:textId="77777777" w:rsidR="004002DA" w:rsidRPr="00F12C3C" w:rsidRDefault="004002DA" w:rsidP="004002DA">
            <w:pPr>
              <w:spacing w:before="40" w:after="40"/>
              <w:jc w:val="center"/>
              <w:rPr>
                <w:rFonts w:cs="Arial"/>
                <w:bCs/>
                <w:sz w:val="20"/>
              </w:rPr>
            </w:pPr>
            <w:r w:rsidRPr="00F12C3C">
              <w:rPr>
                <w:rFonts w:cs="Arial"/>
                <w:bCs/>
                <w:sz w:val="20"/>
              </w:rPr>
              <w:t>Male</w:t>
            </w:r>
          </w:p>
        </w:tc>
        <w:tc>
          <w:tcPr>
            <w:tcW w:w="1440" w:type="dxa"/>
            <w:tcBorders>
              <w:top w:val="single" w:sz="6" w:space="0" w:color="000080"/>
              <w:left w:val="single" w:sz="6" w:space="0" w:color="000080"/>
              <w:bottom w:val="single" w:sz="6" w:space="0" w:color="000080"/>
              <w:right w:val="single" w:sz="6" w:space="0" w:color="000080"/>
            </w:tcBorders>
            <w:shd w:val="clear" w:color="auto" w:fill="auto"/>
          </w:tcPr>
          <w:p w14:paraId="34414D5D" w14:textId="77777777" w:rsidR="004002DA" w:rsidRPr="00F12C3C" w:rsidRDefault="004002DA" w:rsidP="004002DA">
            <w:pPr>
              <w:spacing w:before="40" w:after="40"/>
              <w:jc w:val="center"/>
              <w:rPr>
                <w:rFonts w:cs="Arial"/>
                <w:bCs/>
                <w:sz w:val="20"/>
                <w:lang w:val="en-US"/>
              </w:rPr>
            </w:pPr>
            <w:r w:rsidRPr="00F12C3C">
              <w:rPr>
                <w:rFonts w:cs="Arial"/>
                <w:bCs/>
                <w:sz w:val="20"/>
                <w:lang w:val="en-US"/>
              </w:rPr>
              <w:t xml:space="preserve">Other categories as relevant to Project design (e.g. age, refugees </w:t>
            </w:r>
            <w:proofErr w:type="spellStart"/>
            <w:r w:rsidRPr="00F12C3C">
              <w:rPr>
                <w:rFonts w:cs="Arial"/>
                <w:bCs/>
                <w:sz w:val="20"/>
                <w:lang w:val="en-US"/>
              </w:rPr>
              <w:t>etc</w:t>
            </w:r>
            <w:proofErr w:type="spellEnd"/>
            <w:r w:rsidRPr="00F12C3C">
              <w:rPr>
                <w:rFonts w:cs="Arial"/>
                <w:bCs/>
                <w:sz w:val="20"/>
                <w:lang w:val="en-US"/>
              </w:rPr>
              <w:t>)</w:t>
            </w: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4841C506" w14:textId="77777777" w:rsidR="004002DA" w:rsidRPr="00F12C3C" w:rsidRDefault="004002DA" w:rsidP="004002DA">
            <w:pPr>
              <w:spacing w:before="40" w:after="40"/>
              <w:jc w:val="center"/>
              <w:rPr>
                <w:rFonts w:cs="Arial"/>
                <w:bCs/>
                <w:sz w:val="20"/>
              </w:rPr>
            </w:pPr>
            <w:r w:rsidRPr="00F12C3C">
              <w:rPr>
                <w:rFonts w:cs="Arial"/>
                <w:bCs/>
                <w:sz w:val="20"/>
              </w:rPr>
              <w:t>Total</w:t>
            </w:r>
          </w:p>
        </w:tc>
        <w:tc>
          <w:tcPr>
            <w:tcW w:w="990" w:type="dxa"/>
            <w:tcBorders>
              <w:top w:val="single" w:sz="6" w:space="0" w:color="000080"/>
              <w:left w:val="single" w:sz="6" w:space="0" w:color="000080"/>
              <w:bottom w:val="single" w:sz="6" w:space="0" w:color="000080"/>
              <w:right w:val="single" w:sz="6" w:space="0" w:color="000080"/>
            </w:tcBorders>
            <w:shd w:val="clear" w:color="auto" w:fill="auto"/>
          </w:tcPr>
          <w:p w14:paraId="1E3041A9" w14:textId="77777777" w:rsidR="004002DA" w:rsidRPr="00F12C3C" w:rsidRDefault="004002DA" w:rsidP="004002DA">
            <w:pPr>
              <w:spacing w:before="40" w:after="40"/>
              <w:jc w:val="center"/>
              <w:rPr>
                <w:rFonts w:cs="Arial"/>
                <w:bCs/>
                <w:sz w:val="20"/>
                <w:lang w:val="en-US"/>
              </w:rPr>
            </w:pPr>
            <w:r w:rsidRPr="00F12C3C">
              <w:rPr>
                <w:rFonts w:cs="Arial"/>
                <w:bCs/>
                <w:sz w:val="20"/>
                <w:lang w:val="en-US"/>
              </w:rPr>
              <w:t xml:space="preserve">Relevant category (e.g. teachers) </w:t>
            </w:r>
          </w:p>
        </w:tc>
        <w:tc>
          <w:tcPr>
            <w:tcW w:w="1260" w:type="dxa"/>
            <w:tcBorders>
              <w:top w:val="single" w:sz="6" w:space="0" w:color="000080"/>
              <w:left w:val="single" w:sz="6" w:space="0" w:color="000080"/>
              <w:bottom w:val="single" w:sz="6" w:space="0" w:color="000080"/>
              <w:right w:val="single" w:sz="6" w:space="0" w:color="000080"/>
            </w:tcBorders>
            <w:shd w:val="clear" w:color="auto" w:fill="auto"/>
          </w:tcPr>
          <w:p w14:paraId="3C53B900" w14:textId="77777777" w:rsidR="004002DA" w:rsidRPr="00F12C3C" w:rsidRDefault="004002DA" w:rsidP="004002DA">
            <w:pPr>
              <w:spacing w:before="40" w:after="40"/>
              <w:jc w:val="center"/>
              <w:rPr>
                <w:rFonts w:cs="Arial"/>
                <w:bCs/>
                <w:sz w:val="20"/>
                <w:lang w:val="en-US"/>
              </w:rPr>
            </w:pPr>
            <w:r w:rsidRPr="00F12C3C">
              <w:rPr>
                <w:rFonts w:cs="Arial"/>
                <w:bCs/>
                <w:sz w:val="20"/>
                <w:lang w:val="en-US"/>
              </w:rPr>
              <w:t>Relevant other category (e.g. community leaders)</w:t>
            </w:r>
          </w:p>
        </w:tc>
        <w:tc>
          <w:tcPr>
            <w:tcW w:w="1080" w:type="dxa"/>
            <w:tcBorders>
              <w:top w:val="single" w:sz="6" w:space="0" w:color="000080"/>
              <w:left w:val="single" w:sz="6" w:space="0" w:color="000080"/>
              <w:bottom w:val="single" w:sz="6" w:space="0" w:color="000080"/>
              <w:right w:val="single" w:sz="6" w:space="0" w:color="000080"/>
            </w:tcBorders>
            <w:shd w:val="clear" w:color="auto" w:fill="auto"/>
          </w:tcPr>
          <w:p w14:paraId="72ED0F36" w14:textId="77777777" w:rsidR="004002DA" w:rsidRPr="00F12C3C" w:rsidRDefault="004002DA" w:rsidP="004002DA">
            <w:pPr>
              <w:spacing w:before="40" w:after="40"/>
              <w:jc w:val="center"/>
              <w:rPr>
                <w:rFonts w:cs="Arial"/>
                <w:bCs/>
                <w:sz w:val="20"/>
                <w:lang w:val="en-US"/>
              </w:rPr>
            </w:pPr>
            <w:r w:rsidRPr="00F12C3C">
              <w:rPr>
                <w:rFonts w:cs="Arial"/>
                <w:bCs/>
                <w:sz w:val="20"/>
                <w:lang w:val="en-US"/>
              </w:rPr>
              <w:t>Other category as relevant (e.g. age, refugees)</w:t>
            </w:r>
          </w:p>
        </w:tc>
      </w:tr>
      <w:tr w:rsidR="004002DA" w:rsidRPr="0041504B" w14:paraId="281BEEB0" w14:textId="77777777" w:rsidTr="004002DA">
        <w:tc>
          <w:tcPr>
            <w:tcW w:w="9540" w:type="dxa"/>
            <w:gridSpan w:val="9"/>
            <w:shd w:val="clear" w:color="auto" w:fill="auto"/>
          </w:tcPr>
          <w:p w14:paraId="02B30037" w14:textId="77777777" w:rsidR="004002DA" w:rsidRPr="00F12C3C" w:rsidRDefault="004002DA" w:rsidP="004002DA">
            <w:pPr>
              <w:spacing w:before="40" w:after="40"/>
              <w:rPr>
                <w:rFonts w:cs="Arial"/>
                <w:b/>
                <w:sz w:val="20"/>
              </w:rPr>
            </w:pPr>
            <w:r w:rsidRPr="00F12C3C">
              <w:rPr>
                <w:rFonts w:cs="Arial"/>
                <w:b/>
                <w:sz w:val="20"/>
              </w:rPr>
              <w:t>Outcome 1</w:t>
            </w:r>
          </w:p>
        </w:tc>
      </w:tr>
      <w:tr w:rsidR="004002DA" w:rsidRPr="0041504B" w14:paraId="109546A4" w14:textId="77777777" w:rsidTr="004002DA">
        <w:tc>
          <w:tcPr>
            <w:tcW w:w="1170" w:type="dxa"/>
            <w:tcBorders>
              <w:top w:val="single" w:sz="6" w:space="0" w:color="000080"/>
              <w:left w:val="single" w:sz="6" w:space="0" w:color="000080"/>
              <w:bottom w:val="single" w:sz="6" w:space="0" w:color="000080"/>
              <w:right w:val="single" w:sz="6" w:space="0" w:color="000080"/>
            </w:tcBorders>
            <w:shd w:val="clear" w:color="auto" w:fill="auto"/>
          </w:tcPr>
          <w:p w14:paraId="52A08BF6" w14:textId="77777777" w:rsidR="004002DA" w:rsidRPr="00F12C3C" w:rsidRDefault="004002DA" w:rsidP="004002DA">
            <w:pPr>
              <w:spacing w:before="40" w:after="40"/>
              <w:rPr>
                <w:rFonts w:cs="Arial"/>
                <w:bCs/>
                <w:sz w:val="20"/>
              </w:rPr>
            </w:pPr>
            <w:r w:rsidRPr="00F12C3C">
              <w:rPr>
                <w:rFonts w:cs="Arial"/>
                <w:bCs/>
                <w:sz w:val="20"/>
              </w:rPr>
              <w:t>Output 1.1</w:t>
            </w:r>
          </w:p>
        </w:tc>
        <w:tc>
          <w:tcPr>
            <w:tcW w:w="1350" w:type="dxa"/>
            <w:tcBorders>
              <w:top w:val="single" w:sz="6" w:space="0" w:color="000080"/>
              <w:left w:val="single" w:sz="6" w:space="0" w:color="000080"/>
              <w:bottom w:val="single" w:sz="6" w:space="0" w:color="000080"/>
              <w:right w:val="single" w:sz="6" w:space="0" w:color="000080"/>
            </w:tcBorders>
            <w:shd w:val="clear" w:color="auto" w:fill="auto"/>
          </w:tcPr>
          <w:p w14:paraId="74264BC8" w14:textId="77777777" w:rsidR="004002DA" w:rsidRPr="00F12C3C" w:rsidRDefault="004002DA" w:rsidP="004002DA">
            <w:pPr>
              <w:spacing w:before="40" w:after="40"/>
              <w:jc w:val="right"/>
              <w:rPr>
                <w:rFonts w:cs="Arial"/>
                <w:bCs/>
                <w:sz w:val="20"/>
              </w:rPr>
            </w:pPr>
            <w:r w:rsidRPr="00F12C3C">
              <w:rPr>
                <w:rFonts w:cs="Arial"/>
                <w:bCs/>
                <w:sz w:val="20"/>
              </w:rPr>
              <w:t>1,200</w:t>
            </w: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7C363BAD" w14:textId="77777777" w:rsidR="004002DA" w:rsidRPr="00F12C3C" w:rsidRDefault="004002DA" w:rsidP="004002DA">
            <w:pPr>
              <w:spacing w:before="40" w:after="40"/>
              <w:jc w:val="right"/>
              <w:rPr>
                <w:rFonts w:cs="Arial"/>
                <w:bCs/>
                <w:sz w:val="20"/>
              </w:rPr>
            </w:pPr>
            <w:r w:rsidRPr="00F12C3C">
              <w:rPr>
                <w:rFonts w:cs="Arial"/>
                <w:bCs/>
                <w:sz w:val="20"/>
              </w:rPr>
              <w:t>600</w:t>
            </w:r>
          </w:p>
        </w:tc>
        <w:tc>
          <w:tcPr>
            <w:tcW w:w="630" w:type="dxa"/>
            <w:tcBorders>
              <w:top w:val="single" w:sz="6" w:space="0" w:color="000080"/>
              <w:left w:val="single" w:sz="6" w:space="0" w:color="000080"/>
              <w:bottom w:val="single" w:sz="6" w:space="0" w:color="000080"/>
              <w:right w:val="single" w:sz="6" w:space="0" w:color="000080"/>
            </w:tcBorders>
            <w:shd w:val="clear" w:color="auto" w:fill="auto"/>
          </w:tcPr>
          <w:p w14:paraId="479C5E26" w14:textId="77777777" w:rsidR="004002DA" w:rsidRPr="00F12C3C" w:rsidRDefault="004002DA" w:rsidP="004002DA">
            <w:pPr>
              <w:spacing w:before="40" w:after="40"/>
              <w:jc w:val="right"/>
              <w:rPr>
                <w:rFonts w:cs="Arial"/>
                <w:bCs/>
                <w:sz w:val="20"/>
              </w:rPr>
            </w:pPr>
            <w:r w:rsidRPr="00F12C3C">
              <w:rPr>
                <w:rFonts w:cs="Arial"/>
                <w:bCs/>
                <w:sz w:val="20"/>
              </w:rPr>
              <w:t>600</w:t>
            </w:r>
          </w:p>
        </w:tc>
        <w:tc>
          <w:tcPr>
            <w:tcW w:w="1440" w:type="dxa"/>
            <w:tcBorders>
              <w:top w:val="single" w:sz="6" w:space="0" w:color="000080"/>
              <w:left w:val="single" w:sz="6" w:space="0" w:color="000080"/>
              <w:bottom w:val="single" w:sz="6" w:space="0" w:color="000080"/>
              <w:right w:val="single" w:sz="6" w:space="0" w:color="000080"/>
            </w:tcBorders>
            <w:shd w:val="clear" w:color="auto" w:fill="auto"/>
          </w:tcPr>
          <w:p w14:paraId="54D4ACD9" w14:textId="77777777" w:rsidR="004002DA" w:rsidRPr="00F12C3C" w:rsidRDefault="004002DA" w:rsidP="004002DA">
            <w:pPr>
              <w:spacing w:before="40" w:after="40"/>
              <w:jc w:val="right"/>
              <w:rPr>
                <w:rFonts w:cs="Arial"/>
                <w:bCs/>
                <w:sz w:val="20"/>
                <w:highlight w:val="yellow"/>
              </w:rPr>
            </w:pP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7DF7E0E3" w14:textId="77777777" w:rsidR="004002DA" w:rsidRPr="00F12C3C" w:rsidRDefault="004002DA" w:rsidP="004002DA">
            <w:pPr>
              <w:spacing w:before="40" w:after="40"/>
              <w:jc w:val="right"/>
              <w:rPr>
                <w:rFonts w:cs="Arial"/>
                <w:bCs/>
                <w:sz w:val="20"/>
                <w:highlight w:val="yellow"/>
              </w:rPr>
            </w:pPr>
          </w:p>
        </w:tc>
        <w:tc>
          <w:tcPr>
            <w:tcW w:w="990" w:type="dxa"/>
            <w:tcBorders>
              <w:top w:val="single" w:sz="6" w:space="0" w:color="000080"/>
              <w:left w:val="single" w:sz="6" w:space="0" w:color="000080"/>
              <w:bottom w:val="single" w:sz="6" w:space="0" w:color="000080"/>
              <w:right w:val="single" w:sz="6" w:space="0" w:color="000080"/>
            </w:tcBorders>
            <w:shd w:val="clear" w:color="auto" w:fill="auto"/>
          </w:tcPr>
          <w:p w14:paraId="297B5F6D" w14:textId="77777777" w:rsidR="004002DA" w:rsidRPr="00F12C3C" w:rsidRDefault="004002DA" w:rsidP="004002DA">
            <w:pPr>
              <w:spacing w:before="40" w:after="40"/>
              <w:jc w:val="right"/>
              <w:rPr>
                <w:rFonts w:cs="Arial"/>
                <w:bCs/>
                <w:sz w:val="20"/>
                <w:highlight w:val="yellow"/>
              </w:rPr>
            </w:pPr>
          </w:p>
        </w:tc>
        <w:tc>
          <w:tcPr>
            <w:tcW w:w="1260" w:type="dxa"/>
            <w:tcBorders>
              <w:top w:val="single" w:sz="6" w:space="0" w:color="000080"/>
              <w:left w:val="single" w:sz="6" w:space="0" w:color="000080"/>
              <w:bottom w:val="single" w:sz="6" w:space="0" w:color="000080"/>
              <w:right w:val="single" w:sz="6" w:space="0" w:color="000080"/>
            </w:tcBorders>
            <w:shd w:val="clear" w:color="auto" w:fill="auto"/>
          </w:tcPr>
          <w:p w14:paraId="7D088EEB" w14:textId="77777777" w:rsidR="004002DA" w:rsidRPr="00F12C3C" w:rsidRDefault="004002DA" w:rsidP="004002DA">
            <w:pPr>
              <w:spacing w:before="40" w:after="40"/>
              <w:jc w:val="right"/>
              <w:rPr>
                <w:rFonts w:cs="Arial"/>
                <w:bCs/>
                <w:sz w:val="20"/>
                <w:highlight w:val="yellow"/>
              </w:rPr>
            </w:pPr>
          </w:p>
        </w:tc>
        <w:tc>
          <w:tcPr>
            <w:tcW w:w="1080" w:type="dxa"/>
            <w:tcBorders>
              <w:top w:val="single" w:sz="6" w:space="0" w:color="000080"/>
              <w:left w:val="single" w:sz="6" w:space="0" w:color="000080"/>
              <w:bottom w:val="single" w:sz="6" w:space="0" w:color="000080"/>
              <w:right w:val="single" w:sz="6" w:space="0" w:color="000080"/>
            </w:tcBorders>
            <w:shd w:val="clear" w:color="auto" w:fill="auto"/>
          </w:tcPr>
          <w:p w14:paraId="4C5FC1A9" w14:textId="77777777" w:rsidR="004002DA" w:rsidRPr="00F12C3C" w:rsidRDefault="004002DA" w:rsidP="004002DA">
            <w:pPr>
              <w:spacing w:before="40" w:after="40"/>
              <w:jc w:val="right"/>
              <w:rPr>
                <w:rFonts w:cs="Arial"/>
                <w:bCs/>
                <w:sz w:val="20"/>
                <w:highlight w:val="yellow"/>
              </w:rPr>
            </w:pPr>
          </w:p>
        </w:tc>
      </w:tr>
      <w:tr w:rsidR="004002DA" w:rsidRPr="0041504B" w14:paraId="71DEEF24" w14:textId="77777777" w:rsidTr="004002DA">
        <w:tc>
          <w:tcPr>
            <w:tcW w:w="1170" w:type="dxa"/>
            <w:tcBorders>
              <w:top w:val="single" w:sz="6" w:space="0" w:color="000080"/>
              <w:left w:val="single" w:sz="6" w:space="0" w:color="000080"/>
              <w:bottom w:val="single" w:sz="6" w:space="0" w:color="000080"/>
              <w:right w:val="single" w:sz="6" w:space="0" w:color="000080"/>
            </w:tcBorders>
            <w:shd w:val="clear" w:color="auto" w:fill="auto"/>
          </w:tcPr>
          <w:p w14:paraId="49C3B7AD" w14:textId="77777777" w:rsidR="004002DA" w:rsidRPr="00F12C3C" w:rsidRDefault="004002DA" w:rsidP="004002DA">
            <w:pPr>
              <w:spacing w:before="40" w:after="40"/>
              <w:rPr>
                <w:rFonts w:cs="Arial"/>
                <w:bCs/>
                <w:sz w:val="20"/>
              </w:rPr>
            </w:pPr>
            <w:r w:rsidRPr="00F12C3C">
              <w:rPr>
                <w:rFonts w:cs="Arial"/>
                <w:bCs/>
                <w:sz w:val="20"/>
              </w:rPr>
              <w:t>Output 1.2</w:t>
            </w:r>
          </w:p>
        </w:tc>
        <w:tc>
          <w:tcPr>
            <w:tcW w:w="1350" w:type="dxa"/>
            <w:tcBorders>
              <w:top w:val="single" w:sz="6" w:space="0" w:color="000080"/>
              <w:left w:val="single" w:sz="6" w:space="0" w:color="000080"/>
              <w:bottom w:val="single" w:sz="6" w:space="0" w:color="000080"/>
              <w:right w:val="single" w:sz="6" w:space="0" w:color="000080"/>
            </w:tcBorders>
            <w:shd w:val="clear" w:color="auto" w:fill="auto"/>
          </w:tcPr>
          <w:p w14:paraId="746A473A" w14:textId="77777777" w:rsidR="004002DA" w:rsidRPr="00F12C3C" w:rsidRDefault="004002DA" w:rsidP="004002DA">
            <w:pPr>
              <w:spacing w:before="40" w:after="40"/>
              <w:jc w:val="right"/>
              <w:rPr>
                <w:rFonts w:cs="Arial"/>
                <w:sz w:val="20"/>
              </w:rPr>
            </w:pPr>
            <w:r w:rsidRPr="00F12C3C">
              <w:rPr>
                <w:rFonts w:cs="Arial"/>
                <w:sz w:val="20"/>
              </w:rPr>
              <w:t>1,550</w:t>
            </w: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2C3B850A" w14:textId="77777777" w:rsidR="004002DA" w:rsidRPr="00F12C3C" w:rsidRDefault="004002DA" w:rsidP="004002DA">
            <w:pPr>
              <w:spacing w:before="40" w:after="40"/>
              <w:jc w:val="right"/>
              <w:rPr>
                <w:rFonts w:cs="Arial"/>
                <w:sz w:val="20"/>
              </w:rPr>
            </w:pPr>
            <w:r w:rsidRPr="00F12C3C">
              <w:rPr>
                <w:rFonts w:cs="Arial"/>
                <w:sz w:val="20"/>
              </w:rPr>
              <w:t>775</w:t>
            </w:r>
          </w:p>
        </w:tc>
        <w:tc>
          <w:tcPr>
            <w:tcW w:w="630" w:type="dxa"/>
            <w:tcBorders>
              <w:top w:val="single" w:sz="6" w:space="0" w:color="000080"/>
              <w:left w:val="single" w:sz="6" w:space="0" w:color="000080"/>
              <w:bottom w:val="single" w:sz="6" w:space="0" w:color="000080"/>
              <w:right w:val="single" w:sz="6" w:space="0" w:color="000080"/>
            </w:tcBorders>
            <w:shd w:val="clear" w:color="auto" w:fill="auto"/>
          </w:tcPr>
          <w:p w14:paraId="026BABF9" w14:textId="77777777" w:rsidR="004002DA" w:rsidRPr="00F12C3C" w:rsidRDefault="004002DA" w:rsidP="004002DA">
            <w:pPr>
              <w:spacing w:before="40" w:after="40"/>
              <w:jc w:val="right"/>
              <w:rPr>
                <w:rFonts w:cs="Arial"/>
                <w:sz w:val="20"/>
              </w:rPr>
            </w:pPr>
            <w:r w:rsidRPr="00F12C3C">
              <w:rPr>
                <w:rFonts w:cs="Arial"/>
                <w:sz w:val="20"/>
              </w:rPr>
              <w:t>775</w:t>
            </w:r>
          </w:p>
        </w:tc>
        <w:tc>
          <w:tcPr>
            <w:tcW w:w="1440" w:type="dxa"/>
            <w:tcBorders>
              <w:top w:val="single" w:sz="6" w:space="0" w:color="000080"/>
              <w:left w:val="single" w:sz="6" w:space="0" w:color="000080"/>
              <w:bottom w:val="single" w:sz="6" w:space="0" w:color="000080"/>
              <w:right w:val="single" w:sz="6" w:space="0" w:color="000080"/>
            </w:tcBorders>
            <w:shd w:val="clear" w:color="auto" w:fill="auto"/>
          </w:tcPr>
          <w:p w14:paraId="77B1330A" w14:textId="77777777" w:rsidR="004002DA" w:rsidRPr="00F12C3C" w:rsidRDefault="004002DA" w:rsidP="004002DA">
            <w:pPr>
              <w:spacing w:before="40" w:after="40"/>
              <w:jc w:val="right"/>
              <w:rPr>
                <w:rFonts w:cs="Arial"/>
                <w:bCs/>
                <w:sz w:val="20"/>
              </w:rPr>
            </w:pP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640000B1" w14:textId="77777777" w:rsidR="004002DA" w:rsidRPr="00F12C3C" w:rsidRDefault="004002DA" w:rsidP="004002DA">
            <w:pPr>
              <w:spacing w:before="40" w:after="40"/>
              <w:jc w:val="right"/>
              <w:rPr>
                <w:rFonts w:cs="Arial"/>
                <w:bCs/>
                <w:sz w:val="20"/>
              </w:rPr>
            </w:pPr>
          </w:p>
        </w:tc>
        <w:tc>
          <w:tcPr>
            <w:tcW w:w="990" w:type="dxa"/>
            <w:tcBorders>
              <w:top w:val="single" w:sz="6" w:space="0" w:color="000080"/>
              <w:left w:val="single" w:sz="6" w:space="0" w:color="000080"/>
              <w:bottom w:val="single" w:sz="6" w:space="0" w:color="000080"/>
              <w:right w:val="single" w:sz="6" w:space="0" w:color="000080"/>
            </w:tcBorders>
            <w:shd w:val="clear" w:color="auto" w:fill="auto"/>
          </w:tcPr>
          <w:p w14:paraId="6F277305" w14:textId="77777777" w:rsidR="004002DA" w:rsidRPr="00F12C3C" w:rsidRDefault="004002DA" w:rsidP="004002DA">
            <w:pPr>
              <w:spacing w:before="40" w:after="40"/>
              <w:jc w:val="right"/>
              <w:rPr>
                <w:rFonts w:cs="Arial"/>
                <w:bCs/>
                <w:sz w:val="20"/>
              </w:rPr>
            </w:pPr>
          </w:p>
        </w:tc>
        <w:tc>
          <w:tcPr>
            <w:tcW w:w="1260" w:type="dxa"/>
            <w:tcBorders>
              <w:top w:val="single" w:sz="6" w:space="0" w:color="000080"/>
              <w:left w:val="single" w:sz="6" w:space="0" w:color="000080"/>
              <w:bottom w:val="single" w:sz="6" w:space="0" w:color="000080"/>
              <w:right w:val="single" w:sz="6" w:space="0" w:color="000080"/>
            </w:tcBorders>
            <w:shd w:val="clear" w:color="auto" w:fill="auto"/>
          </w:tcPr>
          <w:p w14:paraId="57747629" w14:textId="77777777" w:rsidR="004002DA" w:rsidRPr="00F12C3C" w:rsidRDefault="004002DA" w:rsidP="004002DA">
            <w:pPr>
              <w:spacing w:before="40" w:after="40"/>
              <w:jc w:val="right"/>
              <w:rPr>
                <w:rFonts w:cs="Arial"/>
                <w:bCs/>
                <w:sz w:val="20"/>
              </w:rPr>
            </w:pPr>
          </w:p>
        </w:tc>
        <w:tc>
          <w:tcPr>
            <w:tcW w:w="1080" w:type="dxa"/>
            <w:tcBorders>
              <w:top w:val="single" w:sz="6" w:space="0" w:color="000080"/>
              <w:left w:val="single" w:sz="6" w:space="0" w:color="000080"/>
              <w:bottom w:val="single" w:sz="6" w:space="0" w:color="000080"/>
              <w:right w:val="single" w:sz="6" w:space="0" w:color="000080"/>
            </w:tcBorders>
            <w:shd w:val="clear" w:color="auto" w:fill="auto"/>
          </w:tcPr>
          <w:p w14:paraId="29E5D9BD" w14:textId="77777777" w:rsidR="004002DA" w:rsidRPr="00F12C3C" w:rsidRDefault="004002DA" w:rsidP="004002DA">
            <w:pPr>
              <w:spacing w:before="40" w:after="40"/>
              <w:jc w:val="right"/>
              <w:rPr>
                <w:rFonts w:cs="Arial"/>
                <w:bCs/>
                <w:sz w:val="20"/>
              </w:rPr>
            </w:pPr>
          </w:p>
        </w:tc>
      </w:tr>
      <w:tr w:rsidR="004002DA" w:rsidRPr="0041504B" w14:paraId="37C01FA1" w14:textId="77777777" w:rsidTr="004002DA">
        <w:tc>
          <w:tcPr>
            <w:tcW w:w="1170" w:type="dxa"/>
            <w:tcBorders>
              <w:top w:val="single" w:sz="6" w:space="0" w:color="000080"/>
              <w:left w:val="single" w:sz="6" w:space="0" w:color="000080"/>
              <w:bottom w:val="single" w:sz="6" w:space="0" w:color="000080"/>
              <w:right w:val="single" w:sz="6" w:space="0" w:color="000080"/>
            </w:tcBorders>
            <w:shd w:val="clear" w:color="auto" w:fill="auto"/>
          </w:tcPr>
          <w:p w14:paraId="10891CDC" w14:textId="77777777" w:rsidR="004002DA" w:rsidRPr="00F12C3C" w:rsidRDefault="004002DA" w:rsidP="004002DA">
            <w:pPr>
              <w:spacing w:before="40" w:after="40"/>
              <w:rPr>
                <w:rFonts w:cs="Arial"/>
                <w:bCs/>
                <w:sz w:val="20"/>
              </w:rPr>
            </w:pPr>
            <w:r w:rsidRPr="00F12C3C">
              <w:rPr>
                <w:rFonts w:cs="Arial"/>
                <w:bCs/>
                <w:sz w:val="20"/>
              </w:rPr>
              <w:t>Output 1.3</w:t>
            </w:r>
          </w:p>
        </w:tc>
        <w:tc>
          <w:tcPr>
            <w:tcW w:w="1350" w:type="dxa"/>
            <w:tcBorders>
              <w:top w:val="single" w:sz="6" w:space="0" w:color="000080"/>
              <w:left w:val="single" w:sz="6" w:space="0" w:color="000080"/>
              <w:bottom w:val="single" w:sz="6" w:space="0" w:color="000080"/>
              <w:right w:val="single" w:sz="6" w:space="0" w:color="000080"/>
            </w:tcBorders>
            <w:shd w:val="clear" w:color="auto" w:fill="auto"/>
          </w:tcPr>
          <w:p w14:paraId="7724E33C" w14:textId="77777777" w:rsidR="004002DA" w:rsidRPr="00F12C3C" w:rsidRDefault="004002DA" w:rsidP="004002DA">
            <w:pPr>
              <w:spacing w:before="40" w:after="40"/>
              <w:jc w:val="right"/>
              <w:rPr>
                <w:rFonts w:cs="Arial"/>
                <w:bCs/>
                <w:sz w:val="20"/>
              </w:rPr>
            </w:pPr>
            <w:r w:rsidRPr="00F12C3C">
              <w:rPr>
                <w:rFonts w:cs="Arial"/>
                <w:bCs/>
                <w:sz w:val="20"/>
              </w:rPr>
              <w:t>1,100</w:t>
            </w: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5D2E614B" w14:textId="77777777" w:rsidR="004002DA" w:rsidRPr="00F12C3C" w:rsidRDefault="004002DA" w:rsidP="004002DA">
            <w:pPr>
              <w:spacing w:before="40" w:after="40"/>
              <w:jc w:val="right"/>
              <w:rPr>
                <w:rFonts w:cs="Arial"/>
                <w:bCs/>
                <w:sz w:val="20"/>
              </w:rPr>
            </w:pPr>
            <w:r w:rsidRPr="00F12C3C">
              <w:rPr>
                <w:rFonts w:cs="Arial"/>
                <w:bCs/>
                <w:sz w:val="20"/>
              </w:rPr>
              <w:t>550</w:t>
            </w:r>
          </w:p>
        </w:tc>
        <w:tc>
          <w:tcPr>
            <w:tcW w:w="630" w:type="dxa"/>
            <w:tcBorders>
              <w:top w:val="single" w:sz="6" w:space="0" w:color="000080"/>
              <w:left w:val="single" w:sz="6" w:space="0" w:color="000080"/>
              <w:bottom w:val="single" w:sz="6" w:space="0" w:color="000080"/>
              <w:right w:val="single" w:sz="6" w:space="0" w:color="000080"/>
            </w:tcBorders>
            <w:shd w:val="clear" w:color="auto" w:fill="auto"/>
          </w:tcPr>
          <w:p w14:paraId="575754AF" w14:textId="77777777" w:rsidR="004002DA" w:rsidRPr="00F12C3C" w:rsidRDefault="004002DA" w:rsidP="004002DA">
            <w:pPr>
              <w:spacing w:before="40" w:after="40"/>
              <w:jc w:val="right"/>
              <w:rPr>
                <w:rFonts w:cs="Arial"/>
                <w:bCs/>
                <w:sz w:val="20"/>
              </w:rPr>
            </w:pPr>
            <w:r w:rsidRPr="00F12C3C">
              <w:rPr>
                <w:rFonts w:cs="Arial"/>
                <w:bCs/>
                <w:sz w:val="20"/>
              </w:rPr>
              <w:t>550</w:t>
            </w:r>
          </w:p>
        </w:tc>
        <w:tc>
          <w:tcPr>
            <w:tcW w:w="1440" w:type="dxa"/>
            <w:tcBorders>
              <w:top w:val="single" w:sz="6" w:space="0" w:color="000080"/>
              <w:left w:val="single" w:sz="6" w:space="0" w:color="000080"/>
              <w:bottom w:val="single" w:sz="6" w:space="0" w:color="000080"/>
              <w:right w:val="single" w:sz="6" w:space="0" w:color="000080"/>
            </w:tcBorders>
            <w:shd w:val="clear" w:color="auto" w:fill="auto"/>
          </w:tcPr>
          <w:p w14:paraId="4C58A0A1" w14:textId="77777777" w:rsidR="004002DA" w:rsidRPr="00F12C3C" w:rsidRDefault="004002DA" w:rsidP="004002DA">
            <w:pPr>
              <w:spacing w:before="40" w:after="40"/>
              <w:jc w:val="right"/>
              <w:rPr>
                <w:rFonts w:cs="Arial"/>
                <w:bCs/>
                <w:sz w:val="20"/>
              </w:rPr>
            </w:pP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7F171F45" w14:textId="77777777" w:rsidR="004002DA" w:rsidRPr="00F12C3C" w:rsidRDefault="004002DA" w:rsidP="004002DA">
            <w:pPr>
              <w:spacing w:before="40" w:after="40"/>
              <w:jc w:val="right"/>
              <w:rPr>
                <w:rFonts w:cs="Arial"/>
                <w:bCs/>
                <w:sz w:val="20"/>
              </w:rPr>
            </w:pPr>
            <w:r w:rsidRPr="00F12C3C">
              <w:rPr>
                <w:rFonts w:cs="Arial"/>
                <w:bCs/>
                <w:sz w:val="20"/>
              </w:rPr>
              <w:t>500,000</w:t>
            </w:r>
          </w:p>
        </w:tc>
        <w:tc>
          <w:tcPr>
            <w:tcW w:w="990" w:type="dxa"/>
            <w:tcBorders>
              <w:top w:val="single" w:sz="6" w:space="0" w:color="000080"/>
              <w:left w:val="single" w:sz="6" w:space="0" w:color="000080"/>
              <w:bottom w:val="single" w:sz="6" w:space="0" w:color="000080"/>
              <w:right w:val="single" w:sz="6" w:space="0" w:color="000080"/>
            </w:tcBorders>
            <w:shd w:val="clear" w:color="auto" w:fill="auto"/>
          </w:tcPr>
          <w:p w14:paraId="351791A7" w14:textId="77777777" w:rsidR="004002DA" w:rsidRPr="00F12C3C" w:rsidRDefault="004002DA" w:rsidP="004002DA">
            <w:pPr>
              <w:spacing w:before="40" w:after="40"/>
              <w:jc w:val="right"/>
              <w:rPr>
                <w:rFonts w:cs="Arial"/>
                <w:bCs/>
                <w:sz w:val="20"/>
              </w:rPr>
            </w:pPr>
          </w:p>
        </w:tc>
        <w:tc>
          <w:tcPr>
            <w:tcW w:w="1260" w:type="dxa"/>
            <w:tcBorders>
              <w:top w:val="single" w:sz="6" w:space="0" w:color="000080"/>
              <w:left w:val="single" w:sz="6" w:space="0" w:color="000080"/>
              <w:bottom w:val="single" w:sz="6" w:space="0" w:color="000080"/>
              <w:right w:val="single" w:sz="6" w:space="0" w:color="000080"/>
            </w:tcBorders>
            <w:shd w:val="clear" w:color="auto" w:fill="auto"/>
          </w:tcPr>
          <w:p w14:paraId="643B899C" w14:textId="77777777" w:rsidR="004002DA" w:rsidRPr="00F12C3C" w:rsidRDefault="004002DA" w:rsidP="004002DA">
            <w:pPr>
              <w:spacing w:before="40" w:after="40"/>
              <w:jc w:val="right"/>
              <w:rPr>
                <w:rFonts w:cs="Arial"/>
                <w:bCs/>
                <w:sz w:val="20"/>
              </w:rPr>
            </w:pPr>
          </w:p>
        </w:tc>
        <w:tc>
          <w:tcPr>
            <w:tcW w:w="1080" w:type="dxa"/>
            <w:tcBorders>
              <w:top w:val="single" w:sz="6" w:space="0" w:color="000080"/>
              <w:left w:val="single" w:sz="6" w:space="0" w:color="000080"/>
              <w:bottom w:val="single" w:sz="6" w:space="0" w:color="000080"/>
              <w:right w:val="single" w:sz="6" w:space="0" w:color="000080"/>
            </w:tcBorders>
            <w:shd w:val="clear" w:color="auto" w:fill="auto"/>
          </w:tcPr>
          <w:p w14:paraId="5B1B0C9F" w14:textId="77777777" w:rsidR="004002DA" w:rsidRPr="00F12C3C" w:rsidRDefault="004002DA" w:rsidP="004002DA">
            <w:pPr>
              <w:spacing w:before="40" w:after="40"/>
              <w:jc w:val="right"/>
              <w:rPr>
                <w:rFonts w:cs="Arial"/>
                <w:bCs/>
                <w:sz w:val="20"/>
              </w:rPr>
            </w:pPr>
          </w:p>
        </w:tc>
      </w:tr>
      <w:tr w:rsidR="004002DA" w:rsidRPr="0041504B" w14:paraId="337664A5" w14:textId="77777777" w:rsidTr="004002DA">
        <w:tc>
          <w:tcPr>
            <w:tcW w:w="9540" w:type="dxa"/>
            <w:gridSpan w:val="9"/>
            <w:shd w:val="clear" w:color="auto" w:fill="auto"/>
          </w:tcPr>
          <w:p w14:paraId="608A4498" w14:textId="77777777" w:rsidR="004002DA" w:rsidRPr="00F12C3C" w:rsidRDefault="004002DA" w:rsidP="004002DA">
            <w:pPr>
              <w:spacing w:before="40" w:after="40"/>
              <w:rPr>
                <w:rFonts w:cs="Arial"/>
                <w:b/>
                <w:sz w:val="20"/>
              </w:rPr>
            </w:pPr>
            <w:r w:rsidRPr="00F12C3C">
              <w:rPr>
                <w:rFonts w:cs="Arial"/>
                <w:b/>
                <w:sz w:val="20"/>
              </w:rPr>
              <w:t>Outcome 2 *</w:t>
            </w:r>
          </w:p>
        </w:tc>
      </w:tr>
      <w:tr w:rsidR="004002DA" w:rsidRPr="0041504B" w14:paraId="5E89D345" w14:textId="77777777" w:rsidTr="004002DA">
        <w:tc>
          <w:tcPr>
            <w:tcW w:w="1170" w:type="dxa"/>
            <w:tcBorders>
              <w:top w:val="single" w:sz="6" w:space="0" w:color="000080"/>
              <w:left w:val="single" w:sz="6" w:space="0" w:color="000080"/>
              <w:bottom w:val="single" w:sz="6" w:space="0" w:color="000080"/>
              <w:right w:val="single" w:sz="6" w:space="0" w:color="000080"/>
            </w:tcBorders>
            <w:shd w:val="clear" w:color="auto" w:fill="auto"/>
          </w:tcPr>
          <w:p w14:paraId="5FFFD738" w14:textId="77777777" w:rsidR="004002DA" w:rsidRPr="00F12C3C" w:rsidRDefault="004002DA" w:rsidP="004002DA">
            <w:pPr>
              <w:spacing w:before="40" w:after="40"/>
              <w:rPr>
                <w:rFonts w:cs="Arial"/>
                <w:bCs/>
                <w:sz w:val="20"/>
              </w:rPr>
            </w:pPr>
            <w:r w:rsidRPr="00F12C3C">
              <w:rPr>
                <w:rFonts w:cs="Arial"/>
                <w:bCs/>
                <w:sz w:val="20"/>
              </w:rPr>
              <w:t>Output 2.1</w:t>
            </w:r>
          </w:p>
        </w:tc>
        <w:tc>
          <w:tcPr>
            <w:tcW w:w="1350" w:type="dxa"/>
            <w:tcBorders>
              <w:top w:val="single" w:sz="6" w:space="0" w:color="000080"/>
              <w:left w:val="single" w:sz="6" w:space="0" w:color="000080"/>
              <w:bottom w:val="single" w:sz="6" w:space="0" w:color="000080"/>
              <w:right w:val="single" w:sz="6" w:space="0" w:color="000080"/>
            </w:tcBorders>
            <w:shd w:val="clear" w:color="auto" w:fill="auto"/>
          </w:tcPr>
          <w:p w14:paraId="74F071E8" w14:textId="77777777" w:rsidR="004002DA" w:rsidRPr="00F12C3C" w:rsidRDefault="004002DA" w:rsidP="004002DA">
            <w:pPr>
              <w:spacing w:before="40" w:after="40"/>
              <w:jc w:val="right"/>
              <w:rPr>
                <w:rFonts w:cs="Arial"/>
                <w:b/>
                <w:bCs/>
                <w:sz w:val="20"/>
              </w:rPr>
            </w:pPr>
            <w:r w:rsidRPr="00F12C3C">
              <w:rPr>
                <w:rFonts w:cs="Arial"/>
                <w:sz w:val="20"/>
              </w:rPr>
              <w:t xml:space="preserve">12 (IPs) </w:t>
            </w: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474EC712" w14:textId="77777777" w:rsidR="004002DA" w:rsidRPr="00F12C3C" w:rsidRDefault="004002DA" w:rsidP="004002DA">
            <w:pPr>
              <w:spacing w:before="40" w:after="40"/>
              <w:jc w:val="right"/>
              <w:rPr>
                <w:rFonts w:cs="Arial"/>
                <w:b/>
                <w:sz w:val="20"/>
              </w:rPr>
            </w:pPr>
          </w:p>
        </w:tc>
        <w:tc>
          <w:tcPr>
            <w:tcW w:w="630" w:type="dxa"/>
            <w:tcBorders>
              <w:top w:val="single" w:sz="6" w:space="0" w:color="000080"/>
              <w:left w:val="single" w:sz="6" w:space="0" w:color="000080"/>
              <w:bottom w:val="single" w:sz="6" w:space="0" w:color="000080"/>
              <w:right w:val="single" w:sz="6" w:space="0" w:color="000080"/>
            </w:tcBorders>
            <w:shd w:val="clear" w:color="auto" w:fill="auto"/>
          </w:tcPr>
          <w:p w14:paraId="3437C5B2" w14:textId="77777777" w:rsidR="004002DA" w:rsidRPr="00F12C3C" w:rsidRDefault="004002DA" w:rsidP="004002DA">
            <w:pPr>
              <w:spacing w:before="40" w:after="40"/>
              <w:jc w:val="right"/>
              <w:rPr>
                <w:rFonts w:cs="Arial"/>
                <w:b/>
                <w:sz w:val="20"/>
              </w:rPr>
            </w:pPr>
          </w:p>
        </w:tc>
        <w:tc>
          <w:tcPr>
            <w:tcW w:w="1440" w:type="dxa"/>
            <w:tcBorders>
              <w:top w:val="single" w:sz="6" w:space="0" w:color="000080"/>
              <w:left w:val="single" w:sz="6" w:space="0" w:color="000080"/>
              <w:bottom w:val="single" w:sz="6" w:space="0" w:color="000080"/>
              <w:right w:val="single" w:sz="6" w:space="0" w:color="000080"/>
            </w:tcBorders>
            <w:shd w:val="clear" w:color="auto" w:fill="auto"/>
          </w:tcPr>
          <w:p w14:paraId="5AA8146E" w14:textId="77777777" w:rsidR="004002DA" w:rsidRPr="00F12C3C" w:rsidRDefault="004002DA" w:rsidP="004002DA">
            <w:pPr>
              <w:spacing w:before="40" w:after="40"/>
              <w:jc w:val="right"/>
              <w:rPr>
                <w:rFonts w:cs="Arial"/>
                <w:b/>
                <w:sz w:val="20"/>
              </w:rPr>
            </w:pP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7D24A6D6" w14:textId="77777777" w:rsidR="004002DA" w:rsidRPr="00F12C3C" w:rsidRDefault="004002DA" w:rsidP="004002DA">
            <w:pPr>
              <w:spacing w:before="40" w:after="40"/>
              <w:jc w:val="right"/>
              <w:rPr>
                <w:rFonts w:cs="Arial"/>
                <w:b/>
                <w:sz w:val="20"/>
              </w:rPr>
            </w:pPr>
          </w:p>
        </w:tc>
        <w:tc>
          <w:tcPr>
            <w:tcW w:w="990" w:type="dxa"/>
            <w:tcBorders>
              <w:top w:val="single" w:sz="6" w:space="0" w:color="000080"/>
              <w:left w:val="single" w:sz="6" w:space="0" w:color="000080"/>
              <w:bottom w:val="single" w:sz="6" w:space="0" w:color="000080"/>
              <w:right w:val="single" w:sz="6" w:space="0" w:color="000080"/>
            </w:tcBorders>
            <w:shd w:val="clear" w:color="auto" w:fill="auto"/>
          </w:tcPr>
          <w:p w14:paraId="022148A5" w14:textId="77777777" w:rsidR="004002DA" w:rsidRPr="00F12C3C" w:rsidRDefault="004002DA" w:rsidP="004002DA">
            <w:pPr>
              <w:spacing w:before="40" w:after="40"/>
              <w:jc w:val="right"/>
              <w:rPr>
                <w:rFonts w:cs="Arial"/>
                <w:b/>
                <w:sz w:val="20"/>
              </w:rPr>
            </w:pPr>
          </w:p>
        </w:tc>
        <w:tc>
          <w:tcPr>
            <w:tcW w:w="1260" w:type="dxa"/>
            <w:tcBorders>
              <w:top w:val="single" w:sz="6" w:space="0" w:color="000080"/>
              <w:left w:val="single" w:sz="6" w:space="0" w:color="000080"/>
              <w:bottom w:val="single" w:sz="6" w:space="0" w:color="000080"/>
              <w:right w:val="single" w:sz="6" w:space="0" w:color="000080"/>
            </w:tcBorders>
            <w:shd w:val="clear" w:color="auto" w:fill="auto"/>
          </w:tcPr>
          <w:p w14:paraId="51ECA0CE" w14:textId="77777777" w:rsidR="004002DA" w:rsidRPr="00F12C3C" w:rsidRDefault="004002DA" w:rsidP="004002DA">
            <w:pPr>
              <w:spacing w:before="40" w:after="40"/>
              <w:jc w:val="right"/>
              <w:rPr>
                <w:rFonts w:cs="Arial"/>
                <w:b/>
                <w:sz w:val="20"/>
              </w:rPr>
            </w:pPr>
          </w:p>
        </w:tc>
        <w:tc>
          <w:tcPr>
            <w:tcW w:w="1080" w:type="dxa"/>
            <w:tcBorders>
              <w:top w:val="single" w:sz="6" w:space="0" w:color="000080"/>
              <w:left w:val="single" w:sz="6" w:space="0" w:color="000080"/>
              <w:bottom w:val="single" w:sz="6" w:space="0" w:color="000080"/>
              <w:right w:val="single" w:sz="6" w:space="0" w:color="000080"/>
            </w:tcBorders>
            <w:shd w:val="clear" w:color="auto" w:fill="auto"/>
          </w:tcPr>
          <w:p w14:paraId="7DE1E7E2" w14:textId="77777777" w:rsidR="004002DA" w:rsidRPr="00F12C3C" w:rsidRDefault="004002DA" w:rsidP="004002DA">
            <w:pPr>
              <w:spacing w:before="40" w:after="40"/>
              <w:jc w:val="right"/>
              <w:rPr>
                <w:rFonts w:cs="Arial"/>
                <w:b/>
                <w:sz w:val="20"/>
              </w:rPr>
            </w:pPr>
          </w:p>
        </w:tc>
      </w:tr>
      <w:tr w:rsidR="004002DA" w:rsidRPr="0041504B" w14:paraId="133923A6" w14:textId="77777777" w:rsidTr="004002DA">
        <w:tc>
          <w:tcPr>
            <w:tcW w:w="1170" w:type="dxa"/>
            <w:tcBorders>
              <w:top w:val="single" w:sz="6" w:space="0" w:color="000080"/>
              <w:left w:val="single" w:sz="6" w:space="0" w:color="000080"/>
              <w:bottom w:val="single" w:sz="6" w:space="0" w:color="000080"/>
              <w:right w:val="single" w:sz="6" w:space="0" w:color="000080"/>
            </w:tcBorders>
            <w:shd w:val="clear" w:color="auto" w:fill="auto"/>
          </w:tcPr>
          <w:p w14:paraId="687AD5CE" w14:textId="77777777" w:rsidR="004002DA" w:rsidRPr="00F12C3C" w:rsidRDefault="004002DA" w:rsidP="004002DA">
            <w:pPr>
              <w:spacing w:before="40" w:after="40"/>
              <w:rPr>
                <w:rFonts w:cs="Arial"/>
                <w:bCs/>
                <w:sz w:val="20"/>
              </w:rPr>
            </w:pPr>
            <w:r w:rsidRPr="00F12C3C">
              <w:rPr>
                <w:rFonts w:cs="Arial"/>
                <w:bCs/>
                <w:sz w:val="20"/>
              </w:rPr>
              <w:t>Output 2.2</w:t>
            </w:r>
          </w:p>
        </w:tc>
        <w:tc>
          <w:tcPr>
            <w:tcW w:w="1350" w:type="dxa"/>
            <w:tcBorders>
              <w:top w:val="single" w:sz="6" w:space="0" w:color="000080"/>
              <w:left w:val="single" w:sz="6" w:space="0" w:color="000080"/>
              <w:bottom w:val="single" w:sz="6" w:space="0" w:color="000080"/>
              <w:right w:val="single" w:sz="6" w:space="0" w:color="000080"/>
            </w:tcBorders>
            <w:shd w:val="clear" w:color="auto" w:fill="auto"/>
          </w:tcPr>
          <w:p w14:paraId="4B693493" w14:textId="77777777" w:rsidR="004002DA" w:rsidRPr="00F12C3C" w:rsidRDefault="004002DA" w:rsidP="004002DA">
            <w:pPr>
              <w:spacing w:before="40" w:after="40"/>
              <w:jc w:val="right"/>
              <w:rPr>
                <w:rFonts w:cs="Arial"/>
                <w:sz w:val="20"/>
              </w:rPr>
            </w:pPr>
            <w:r w:rsidRPr="00F12C3C">
              <w:rPr>
                <w:rFonts w:cs="Arial"/>
                <w:sz w:val="20"/>
              </w:rPr>
              <w:t>12 (IPs)</w:t>
            </w: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1E12C518" w14:textId="77777777" w:rsidR="004002DA" w:rsidRPr="00F12C3C" w:rsidRDefault="004002DA" w:rsidP="004002DA">
            <w:pPr>
              <w:spacing w:before="40" w:after="40"/>
              <w:jc w:val="right"/>
              <w:rPr>
                <w:rFonts w:cs="Arial"/>
                <w:b/>
                <w:sz w:val="20"/>
              </w:rPr>
            </w:pPr>
          </w:p>
        </w:tc>
        <w:tc>
          <w:tcPr>
            <w:tcW w:w="630" w:type="dxa"/>
            <w:tcBorders>
              <w:top w:val="single" w:sz="6" w:space="0" w:color="000080"/>
              <w:left w:val="single" w:sz="6" w:space="0" w:color="000080"/>
              <w:bottom w:val="single" w:sz="6" w:space="0" w:color="000080"/>
              <w:right w:val="single" w:sz="6" w:space="0" w:color="000080"/>
            </w:tcBorders>
            <w:shd w:val="clear" w:color="auto" w:fill="auto"/>
          </w:tcPr>
          <w:p w14:paraId="511FED74" w14:textId="77777777" w:rsidR="004002DA" w:rsidRPr="00F12C3C" w:rsidRDefault="004002DA" w:rsidP="004002DA">
            <w:pPr>
              <w:spacing w:before="40" w:after="40"/>
              <w:jc w:val="right"/>
              <w:rPr>
                <w:rFonts w:cs="Arial"/>
                <w:b/>
                <w:sz w:val="20"/>
              </w:rPr>
            </w:pPr>
          </w:p>
        </w:tc>
        <w:tc>
          <w:tcPr>
            <w:tcW w:w="1440" w:type="dxa"/>
            <w:tcBorders>
              <w:top w:val="single" w:sz="6" w:space="0" w:color="000080"/>
              <w:left w:val="single" w:sz="6" w:space="0" w:color="000080"/>
              <w:bottom w:val="single" w:sz="6" w:space="0" w:color="000080"/>
              <w:right w:val="single" w:sz="6" w:space="0" w:color="000080"/>
            </w:tcBorders>
            <w:shd w:val="clear" w:color="auto" w:fill="auto"/>
          </w:tcPr>
          <w:p w14:paraId="50E55CC5" w14:textId="77777777" w:rsidR="004002DA" w:rsidRPr="00F12C3C" w:rsidRDefault="004002DA" w:rsidP="004002DA">
            <w:pPr>
              <w:spacing w:before="40" w:after="40"/>
              <w:jc w:val="right"/>
              <w:rPr>
                <w:rFonts w:cs="Arial"/>
                <w:b/>
                <w:sz w:val="20"/>
              </w:rPr>
            </w:pP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0A24E569" w14:textId="77777777" w:rsidR="004002DA" w:rsidRPr="00F12C3C" w:rsidRDefault="004002DA" w:rsidP="004002DA">
            <w:pPr>
              <w:spacing w:before="40" w:after="40"/>
              <w:jc w:val="right"/>
              <w:rPr>
                <w:rFonts w:cs="Arial"/>
                <w:b/>
                <w:sz w:val="20"/>
              </w:rPr>
            </w:pPr>
          </w:p>
        </w:tc>
        <w:tc>
          <w:tcPr>
            <w:tcW w:w="990" w:type="dxa"/>
            <w:tcBorders>
              <w:top w:val="single" w:sz="6" w:space="0" w:color="000080"/>
              <w:left w:val="single" w:sz="6" w:space="0" w:color="000080"/>
              <w:bottom w:val="single" w:sz="6" w:space="0" w:color="000080"/>
              <w:right w:val="single" w:sz="6" w:space="0" w:color="000080"/>
            </w:tcBorders>
            <w:shd w:val="clear" w:color="auto" w:fill="auto"/>
          </w:tcPr>
          <w:p w14:paraId="44819994" w14:textId="77777777" w:rsidR="004002DA" w:rsidRPr="00F12C3C" w:rsidRDefault="004002DA" w:rsidP="004002DA">
            <w:pPr>
              <w:spacing w:before="40" w:after="40"/>
              <w:jc w:val="right"/>
              <w:rPr>
                <w:rFonts w:cs="Arial"/>
                <w:b/>
                <w:sz w:val="20"/>
              </w:rPr>
            </w:pPr>
          </w:p>
        </w:tc>
        <w:tc>
          <w:tcPr>
            <w:tcW w:w="1260" w:type="dxa"/>
            <w:tcBorders>
              <w:top w:val="single" w:sz="6" w:space="0" w:color="000080"/>
              <w:left w:val="single" w:sz="6" w:space="0" w:color="000080"/>
              <w:bottom w:val="single" w:sz="6" w:space="0" w:color="000080"/>
              <w:right w:val="single" w:sz="6" w:space="0" w:color="000080"/>
            </w:tcBorders>
            <w:shd w:val="clear" w:color="auto" w:fill="auto"/>
          </w:tcPr>
          <w:p w14:paraId="3AED9197" w14:textId="77777777" w:rsidR="004002DA" w:rsidRPr="00F12C3C" w:rsidRDefault="004002DA" w:rsidP="004002DA">
            <w:pPr>
              <w:spacing w:before="40" w:after="40"/>
              <w:jc w:val="right"/>
              <w:rPr>
                <w:rFonts w:cs="Arial"/>
                <w:b/>
                <w:sz w:val="20"/>
              </w:rPr>
            </w:pPr>
          </w:p>
        </w:tc>
        <w:tc>
          <w:tcPr>
            <w:tcW w:w="1080" w:type="dxa"/>
            <w:tcBorders>
              <w:top w:val="single" w:sz="6" w:space="0" w:color="000080"/>
              <w:left w:val="single" w:sz="6" w:space="0" w:color="000080"/>
              <w:bottom w:val="single" w:sz="6" w:space="0" w:color="000080"/>
              <w:right w:val="single" w:sz="6" w:space="0" w:color="000080"/>
            </w:tcBorders>
            <w:shd w:val="clear" w:color="auto" w:fill="auto"/>
          </w:tcPr>
          <w:p w14:paraId="46F72AFE" w14:textId="77777777" w:rsidR="004002DA" w:rsidRPr="00F12C3C" w:rsidRDefault="004002DA" w:rsidP="004002DA">
            <w:pPr>
              <w:spacing w:before="40" w:after="40"/>
              <w:jc w:val="right"/>
              <w:rPr>
                <w:rFonts w:cs="Arial"/>
                <w:b/>
                <w:sz w:val="20"/>
              </w:rPr>
            </w:pPr>
          </w:p>
        </w:tc>
      </w:tr>
      <w:tr w:rsidR="004002DA" w:rsidRPr="0041504B" w14:paraId="1D986032" w14:textId="77777777" w:rsidTr="004002DA">
        <w:tc>
          <w:tcPr>
            <w:tcW w:w="1170" w:type="dxa"/>
            <w:tcBorders>
              <w:top w:val="single" w:sz="6" w:space="0" w:color="000080"/>
              <w:left w:val="single" w:sz="6" w:space="0" w:color="000080"/>
              <w:bottom w:val="single" w:sz="6" w:space="0" w:color="000080"/>
              <w:right w:val="single" w:sz="6" w:space="0" w:color="000080"/>
            </w:tcBorders>
            <w:shd w:val="clear" w:color="auto" w:fill="auto"/>
          </w:tcPr>
          <w:p w14:paraId="121954D3" w14:textId="77777777" w:rsidR="004002DA" w:rsidRPr="00F12C3C" w:rsidRDefault="004002DA" w:rsidP="004002DA">
            <w:pPr>
              <w:spacing w:before="40" w:after="40"/>
              <w:rPr>
                <w:rFonts w:cs="Arial"/>
                <w:bCs/>
                <w:sz w:val="20"/>
              </w:rPr>
            </w:pPr>
            <w:r w:rsidRPr="00F12C3C">
              <w:rPr>
                <w:rFonts w:cs="Arial"/>
                <w:bCs/>
                <w:sz w:val="20"/>
              </w:rPr>
              <w:t>Total incl. double counting</w:t>
            </w:r>
          </w:p>
        </w:tc>
        <w:tc>
          <w:tcPr>
            <w:tcW w:w="1350" w:type="dxa"/>
            <w:tcBorders>
              <w:top w:val="single" w:sz="6" w:space="0" w:color="000080"/>
              <w:left w:val="single" w:sz="6" w:space="0" w:color="000080"/>
              <w:bottom w:val="single" w:sz="6" w:space="0" w:color="000080"/>
              <w:right w:val="single" w:sz="6" w:space="0" w:color="000080"/>
            </w:tcBorders>
            <w:shd w:val="clear" w:color="auto" w:fill="auto"/>
          </w:tcPr>
          <w:p w14:paraId="70D7DAFF" w14:textId="77777777" w:rsidR="004002DA" w:rsidRPr="00F12C3C" w:rsidRDefault="004002DA" w:rsidP="004002DA">
            <w:pPr>
              <w:spacing w:before="40" w:after="40"/>
              <w:jc w:val="right"/>
              <w:rPr>
                <w:rFonts w:cs="Arial"/>
                <w:b/>
                <w:sz w:val="20"/>
              </w:rPr>
            </w:pP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23F95942" w14:textId="77777777" w:rsidR="004002DA" w:rsidRPr="00F12C3C" w:rsidRDefault="004002DA" w:rsidP="004002DA">
            <w:pPr>
              <w:spacing w:before="40" w:after="40"/>
              <w:jc w:val="right"/>
              <w:rPr>
                <w:rFonts w:cs="Arial"/>
                <w:b/>
                <w:sz w:val="20"/>
              </w:rPr>
            </w:pPr>
          </w:p>
        </w:tc>
        <w:tc>
          <w:tcPr>
            <w:tcW w:w="630" w:type="dxa"/>
            <w:tcBorders>
              <w:top w:val="single" w:sz="6" w:space="0" w:color="000080"/>
              <w:left w:val="single" w:sz="6" w:space="0" w:color="000080"/>
              <w:bottom w:val="single" w:sz="6" w:space="0" w:color="000080"/>
              <w:right w:val="single" w:sz="6" w:space="0" w:color="000080"/>
            </w:tcBorders>
            <w:shd w:val="clear" w:color="auto" w:fill="auto"/>
          </w:tcPr>
          <w:p w14:paraId="2FE1ECC1" w14:textId="77777777" w:rsidR="004002DA" w:rsidRPr="00F12C3C" w:rsidRDefault="004002DA" w:rsidP="004002DA">
            <w:pPr>
              <w:spacing w:before="40" w:after="40"/>
              <w:jc w:val="right"/>
              <w:rPr>
                <w:rFonts w:cs="Arial"/>
                <w:b/>
                <w:sz w:val="20"/>
              </w:rPr>
            </w:pPr>
          </w:p>
        </w:tc>
        <w:tc>
          <w:tcPr>
            <w:tcW w:w="1440" w:type="dxa"/>
            <w:tcBorders>
              <w:top w:val="single" w:sz="6" w:space="0" w:color="000080"/>
              <w:left w:val="single" w:sz="6" w:space="0" w:color="000080"/>
              <w:bottom w:val="single" w:sz="6" w:space="0" w:color="000080"/>
              <w:right w:val="single" w:sz="6" w:space="0" w:color="000080"/>
            </w:tcBorders>
            <w:shd w:val="clear" w:color="auto" w:fill="auto"/>
          </w:tcPr>
          <w:p w14:paraId="09446F4C" w14:textId="77777777" w:rsidR="004002DA" w:rsidRPr="00F12C3C" w:rsidRDefault="004002DA" w:rsidP="004002DA">
            <w:pPr>
              <w:spacing w:before="40" w:after="40"/>
              <w:jc w:val="right"/>
              <w:rPr>
                <w:rFonts w:cs="Arial"/>
                <w:b/>
                <w:sz w:val="20"/>
              </w:rPr>
            </w:pP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216E7F84" w14:textId="77777777" w:rsidR="004002DA" w:rsidRPr="00F12C3C" w:rsidRDefault="004002DA" w:rsidP="004002DA">
            <w:pPr>
              <w:spacing w:before="40" w:after="40"/>
              <w:jc w:val="right"/>
              <w:rPr>
                <w:rFonts w:cs="Arial"/>
                <w:b/>
                <w:sz w:val="20"/>
              </w:rPr>
            </w:pPr>
          </w:p>
        </w:tc>
        <w:tc>
          <w:tcPr>
            <w:tcW w:w="990" w:type="dxa"/>
            <w:tcBorders>
              <w:top w:val="single" w:sz="6" w:space="0" w:color="000080"/>
              <w:left w:val="single" w:sz="6" w:space="0" w:color="000080"/>
              <w:bottom w:val="single" w:sz="6" w:space="0" w:color="000080"/>
              <w:right w:val="single" w:sz="6" w:space="0" w:color="000080"/>
            </w:tcBorders>
            <w:shd w:val="clear" w:color="auto" w:fill="auto"/>
          </w:tcPr>
          <w:p w14:paraId="271EBAAE" w14:textId="77777777" w:rsidR="004002DA" w:rsidRPr="00F12C3C" w:rsidRDefault="004002DA" w:rsidP="004002DA">
            <w:pPr>
              <w:spacing w:before="40" w:after="40"/>
              <w:jc w:val="right"/>
              <w:rPr>
                <w:rFonts w:cs="Arial"/>
                <w:b/>
                <w:sz w:val="20"/>
              </w:rPr>
            </w:pPr>
          </w:p>
        </w:tc>
        <w:tc>
          <w:tcPr>
            <w:tcW w:w="1260" w:type="dxa"/>
            <w:tcBorders>
              <w:top w:val="single" w:sz="6" w:space="0" w:color="000080"/>
              <w:left w:val="single" w:sz="6" w:space="0" w:color="000080"/>
              <w:bottom w:val="single" w:sz="6" w:space="0" w:color="000080"/>
              <w:right w:val="single" w:sz="6" w:space="0" w:color="000080"/>
            </w:tcBorders>
            <w:shd w:val="clear" w:color="auto" w:fill="auto"/>
          </w:tcPr>
          <w:p w14:paraId="60EC62E0" w14:textId="77777777" w:rsidR="004002DA" w:rsidRPr="00F12C3C" w:rsidRDefault="004002DA" w:rsidP="004002DA">
            <w:pPr>
              <w:spacing w:before="40" w:after="40"/>
              <w:jc w:val="right"/>
              <w:rPr>
                <w:rFonts w:cs="Arial"/>
                <w:b/>
                <w:sz w:val="20"/>
              </w:rPr>
            </w:pPr>
          </w:p>
        </w:tc>
        <w:tc>
          <w:tcPr>
            <w:tcW w:w="1080" w:type="dxa"/>
            <w:tcBorders>
              <w:top w:val="single" w:sz="6" w:space="0" w:color="000080"/>
              <w:left w:val="single" w:sz="6" w:space="0" w:color="000080"/>
              <w:bottom w:val="single" w:sz="6" w:space="0" w:color="000080"/>
              <w:right w:val="single" w:sz="6" w:space="0" w:color="000080"/>
            </w:tcBorders>
            <w:shd w:val="clear" w:color="auto" w:fill="auto"/>
          </w:tcPr>
          <w:p w14:paraId="679A1805" w14:textId="77777777" w:rsidR="004002DA" w:rsidRPr="00F12C3C" w:rsidRDefault="004002DA" w:rsidP="004002DA">
            <w:pPr>
              <w:spacing w:before="40" w:after="40"/>
              <w:jc w:val="right"/>
              <w:rPr>
                <w:rFonts w:cs="Arial"/>
                <w:b/>
                <w:sz w:val="20"/>
              </w:rPr>
            </w:pPr>
          </w:p>
        </w:tc>
      </w:tr>
      <w:tr w:rsidR="004002DA" w:rsidRPr="0041504B" w14:paraId="295E209A" w14:textId="77777777" w:rsidTr="004002DA">
        <w:tc>
          <w:tcPr>
            <w:tcW w:w="1170" w:type="dxa"/>
            <w:tcBorders>
              <w:top w:val="single" w:sz="6" w:space="0" w:color="000080"/>
              <w:left w:val="single" w:sz="6" w:space="0" w:color="000080"/>
              <w:bottom w:val="single" w:sz="6" w:space="0" w:color="000080"/>
              <w:right w:val="single" w:sz="6" w:space="0" w:color="000080"/>
            </w:tcBorders>
            <w:shd w:val="clear" w:color="auto" w:fill="auto"/>
          </w:tcPr>
          <w:p w14:paraId="79AF129C" w14:textId="77777777" w:rsidR="004002DA" w:rsidRPr="00F12C3C" w:rsidRDefault="004002DA" w:rsidP="004002DA">
            <w:pPr>
              <w:spacing w:before="40" w:after="40"/>
              <w:rPr>
                <w:rFonts w:cs="Arial"/>
                <w:bCs/>
                <w:sz w:val="20"/>
              </w:rPr>
            </w:pPr>
            <w:r w:rsidRPr="00F12C3C">
              <w:rPr>
                <w:rFonts w:cs="Arial"/>
                <w:bCs/>
                <w:sz w:val="20"/>
              </w:rPr>
              <w:lastRenderedPageBreak/>
              <w:t>Total without double counting</w:t>
            </w:r>
          </w:p>
        </w:tc>
        <w:tc>
          <w:tcPr>
            <w:tcW w:w="1350" w:type="dxa"/>
            <w:tcBorders>
              <w:top w:val="single" w:sz="6" w:space="0" w:color="000080"/>
              <w:left w:val="single" w:sz="6" w:space="0" w:color="000080"/>
              <w:bottom w:val="single" w:sz="6" w:space="0" w:color="000080"/>
              <w:right w:val="single" w:sz="6" w:space="0" w:color="000080"/>
            </w:tcBorders>
            <w:shd w:val="clear" w:color="auto" w:fill="auto"/>
          </w:tcPr>
          <w:p w14:paraId="4C69F091" w14:textId="77777777" w:rsidR="004002DA" w:rsidRPr="00F12C3C" w:rsidRDefault="004002DA" w:rsidP="004002DA">
            <w:pPr>
              <w:spacing w:before="40" w:after="40"/>
              <w:jc w:val="right"/>
              <w:rPr>
                <w:rFonts w:cs="Arial"/>
                <w:b/>
                <w:sz w:val="20"/>
              </w:rPr>
            </w:pP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173EDB4C" w14:textId="77777777" w:rsidR="004002DA" w:rsidRPr="00F12C3C" w:rsidRDefault="004002DA" w:rsidP="004002DA">
            <w:pPr>
              <w:spacing w:before="40" w:after="40"/>
              <w:jc w:val="right"/>
              <w:rPr>
                <w:rFonts w:cs="Arial"/>
                <w:b/>
                <w:sz w:val="20"/>
              </w:rPr>
            </w:pPr>
          </w:p>
        </w:tc>
        <w:tc>
          <w:tcPr>
            <w:tcW w:w="630" w:type="dxa"/>
            <w:tcBorders>
              <w:top w:val="single" w:sz="6" w:space="0" w:color="000080"/>
              <w:left w:val="single" w:sz="6" w:space="0" w:color="000080"/>
              <w:bottom w:val="single" w:sz="6" w:space="0" w:color="000080"/>
              <w:right w:val="single" w:sz="6" w:space="0" w:color="000080"/>
            </w:tcBorders>
            <w:shd w:val="clear" w:color="auto" w:fill="auto"/>
          </w:tcPr>
          <w:p w14:paraId="616FA64F" w14:textId="77777777" w:rsidR="004002DA" w:rsidRPr="00F12C3C" w:rsidRDefault="004002DA" w:rsidP="004002DA">
            <w:pPr>
              <w:spacing w:before="40" w:after="40"/>
              <w:jc w:val="right"/>
              <w:rPr>
                <w:rFonts w:cs="Arial"/>
                <w:b/>
                <w:sz w:val="20"/>
              </w:rPr>
            </w:pPr>
          </w:p>
        </w:tc>
        <w:tc>
          <w:tcPr>
            <w:tcW w:w="1440" w:type="dxa"/>
            <w:tcBorders>
              <w:top w:val="single" w:sz="6" w:space="0" w:color="000080"/>
              <w:left w:val="single" w:sz="6" w:space="0" w:color="000080"/>
              <w:bottom w:val="single" w:sz="6" w:space="0" w:color="000080"/>
              <w:right w:val="single" w:sz="6" w:space="0" w:color="000080"/>
            </w:tcBorders>
            <w:shd w:val="clear" w:color="auto" w:fill="auto"/>
          </w:tcPr>
          <w:p w14:paraId="134C0B47" w14:textId="77777777" w:rsidR="004002DA" w:rsidRPr="00F12C3C" w:rsidRDefault="004002DA" w:rsidP="004002DA">
            <w:pPr>
              <w:spacing w:before="40" w:after="40"/>
              <w:jc w:val="right"/>
              <w:rPr>
                <w:rFonts w:cs="Arial"/>
                <w:b/>
                <w:sz w:val="20"/>
              </w:rPr>
            </w:pPr>
          </w:p>
        </w:tc>
        <w:tc>
          <w:tcPr>
            <w:tcW w:w="810" w:type="dxa"/>
            <w:tcBorders>
              <w:top w:val="single" w:sz="6" w:space="0" w:color="000080"/>
              <w:left w:val="single" w:sz="6" w:space="0" w:color="000080"/>
              <w:bottom w:val="single" w:sz="6" w:space="0" w:color="000080"/>
              <w:right w:val="single" w:sz="6" w:space="0" w:color="000080"/>
            </w:tcBorders>
            <w:shd w:val="clear" w:color="auto" w:fill="auto"/>
          </w:tcPr>
          <w:p w14:paraId="67596FD1" w14:textId="77777777" w:rsidR="004002DA" w:rsidRPr="00F12C3C" w:rsidRDefault="004002DA" w:rsidP="004002DA">
            <w:pPr>
              <w:spacing w:before="40" w:after="40"/>
              <w:jc w:val="right"/>
              <w:rPr>
                <w:rFonts w:cs="Arial"/>
                <w:b/>
                <w:sz w:val="20"/>
              </w:rPr>
            </w:pPr>
          </w:p>
        </w:tc>
        <w:tc>
          <w:tcPr>
            <w:tcW w:w="990" w:type="dxa"/>
            <w:tcBorders>
              <w:top w:val="single" w:sz="6" w:space="0" w:color="000080"/>
              <w:left w:val="single" w:sz="6" w:space="0" w:color="000080"/>
              <w:bottom w:val="single" w:sz="6" w:space="0" w:color="000080"/>
              <w:right w:val="single" w:sz="6" w:space="0" w:color="000080"/>
            </w:tcBorders>
            <w:shd w:val="clear" w:color="auto" w:fill="auto"/>
          </w:tcPr>
          <w:p w14:paraId="6D239AA3" w14:textId="77777777" w:rsidR="004002DA" w:rsidRPr="00F12C3C" w:rsidRDefault="004002DA" w:rsidP="004002DA">
            <w:pPr>
              <w:spacing w:before="40" w:after="40"/>
              <w:jc w:val="right"/>
              <w:rPr>
                <w:rFonts w:cs="Arial"/>
                <w:b/>
                <w:sz w:val="20"/>
              </w:rPr>
            </w:pPr>
          </w:p>
        </w:tc>
        <w:tc>
          <w:tcPr>
            <w:tcW w:w="1260" w:type="dxa"/>
            <w:tcBorders>
              <w:top w:val="single" w:sz="6" w:space="0" w:color="000080"/>
              <w:left w:val="single" w:sz="6" w:space="0" w:color="000080"/>
              <w:bottom w:val="single" w:sz="6" w:space="0" w:color="000080"/>
              <w:right w:val="single" w:sz="6" w:space="0" w:color="000080"/>
            </w:tcBorders>
            <w:shd w:val="clear" w:color="auto" w:fill="auto"/>
          </w:tcPr>
          <w:p w14:paraId="09F046C5" w14:textId="77777777" w:rsidR="004002DA" w:rsidRPr="00F12C3C" w:rsidRDefault="004002DA" w:rsidP="004002DA">
            <w:pPr>
              <w:spacing w:before="40" w:after="40"/>
              <w:jc w:val="right"/>
              <w:rPr>
                <w:rFonts w:cs="Arial"/>
                <w:b/>
                <w:sz w:val="20"/>
              </w:rPr>
            </w:pPr>
          </w:p>
        </w:tc>
        <w:tc>
          <w:tcPr>
            <w:tcW w:w="1080" w:type="dxa"/>
            <w:tcBorders>
              <w:top w:val="single" w:sz="6" w:space="0" w:color="000080"/>
              <w:left w:val="single" w:sz="6" w:space="0" w:color="000080"/>
              <w:bottom w:val="single" w:sz="6" w:space="0" w:color="000080"/>
              <w:right w:val="single" w:sz="6" w:space="0" w:color="000080"/>
            </w:tcBorders>
            <w:shd w:val="clear" w:color="auto" w:fill="auto"/>
          </w:tcPr>
          <w:p w14:paraId="61D7A83D" w14:textId="77777777" w:rsidR="004002DA" w:rsidRPr="00F12C3C" w:rsidRDefault="004002DA" w:rsidP="004002DA">
            <w:pPr>
              <w:spacing w:before="40" w:after="40"/>
              <w:jc w:val="right"/>
              <w:rPr>
                <w:rFonts w:cs="Arial"/>
                <w:b/>
                <w:sz w:val="20"/>
              </w:rPr>
            </w:pPr>
          </w:p>
        </w:tc>
      </w:tr>
    </w:tbl>
    <w:p w14:paraId="1B1571C4" w14:textId="77777777" w:rsidR="004002DA" w:rsidRPr="004002DA" w:rsidRDefault="004002DA" w:rsidP="004002DA">
      <w:pPr>
        <w:spacing w:before="240"/>
        <w:rPr>
          <w:rFonts w:asciiTheme="minorBidi" w:hAnsiTheme="minorBidi" w:cstheme="minorBidi"/>
          <w:bCs/>
          <w:sz w:val="16"/>
          <w:szCs w:val="16"/>
          <w:lang w:val="en-US"/>
        </w:rPr>
      </w:pPr>
      <w:r w:rsidRPr="004002DA">
        <w:rPr>
          <w:rFonts w:asciiTheme="minorBidi" w:hAnsiTheme="minorBidi" w:cstheme="minorBidi"/>
          <w:bCs/>
          <w:sz w:val="16"/>
          <w:szCs w:val="16"/>
          <w:lang w:val="en-US"/>
        </w:rPr>
        <w:t>*figures on beneficiaries for output 2.1 and 2.2 of community infrastructure/services will be extracted during the inception phase from the calls for proposal</w:t>
      </w:r>
    </w:p>
    <w:p w14:paraId="20BA1A10" w14:textId="77777777" w:rsidR="004002DA" w:rsidRPr="00F12C3C" w:rsidRDefault="004002DA" w:rsidP="004002DA">
      <w:pPr>
        <w:spacing w:before="240"/>
        <w:rPr>
          <w:rFonts w:cs="Arial"/>
          <w:b/>
          <w:i/>
          <w:sz w:val="20"/>
          <w:lang w:val="en-US"/>
        </w:rPr>
      </w:pPr>
      <w:r w:rsidRPr="00F12C3C">
        <w:rPr>
          <w:rFonts w:cs="Arial"/>
          <w:b/>
          <w:i/>
          <w:sz w:val="20"/>
          <w:lang w:val="en-US"/>
        </w:rPr>
        <w:t xml:space="preserve">Resources Required to Achieve the Expected Results / Time-schedule (plus annexes “Cost and Financing Plan” and “Time schedule”. </w:t>
      </w:r>
    </w:p>
    <w:p w14:paraId="1E869196" w14:textId="77777777" w:rsidR="004002DA" w:rsidRPr="00F12C3C" w:rsidRDefault="004002DA" w:rsidP="004002DA">
      <w:pPr>
        <w:rPr>
          <w:rFonts w:eastAsia="Calibri" w:cs="Arial"/>
          <w:sz w:val="20"/>
          <w:lang w:val="en-US"/>
        </w:rPr>
      </w:pPr>
      <w:r w:rsidRPr="00F12C3C">
        <w:rPr>
          <w:rFonts w:eastAsia="Calibri" w:cs="Arial"/>
          <w:sz w:val="20"/>
          <w:lang w:val="en-US"/>
        </w:rPr>
        <w:t>47. Towards the realization of the IPR pathway to change, UNDP will tap as much as possible into existing human resources, while strategically invest in provision of new strong capacities for Project Management and Coordination, to take the agenda of resilience into the desired level of focus and contribute to achieving the impact and scaling up this framework. UNDP will deploy its human resources in a quick manner and will put in place arrangements for the implementation of COVID-19 response that require speed delivery. At the level of community-based infrastructure, IPR will hire engineering capacities for supervision and technical quality assurance. A procurement analyst will be assigned at partial cost to effectively speed up the procurement processes and meet the IPR target. Moreover, at partial cost, a communication specialist and a reporting, monitoring and evaluation officer will be deployed to assist in the implementation of visibility actions and M&amp;E interventions, respectively.</w:t>
      </w:r>
    </w:p>
    <w:p w14:paraId="2B8BDCB1" w14:textId="77777777" w:rsidR="004002DA" w:rsidRPr="00F12C3C" w:rsidRDefault="004002DA" w:rsidP="004002DA">
      <w:pPr>
        <w:rPr>
          <w:rFonts w:eastAsia="Calibri" w:cs="Arial"/>
          <w:sz w:val="20"/>
          <w:lang w:val="en-US"/>
        </w:rPr>
      </w:pPr>
      <w:r w:rsidRPr="00F12C3C">
        <w:rPr>
          <w:rFonts w:eastAsia="Calibri" w:cs="Arial"/>
          <w:sz w:val="20"/>
          <w:lang w:val="en-US"/>
        </w:rPr>
        <w:t xml:space="preserve">48.  </w:t>
      </w:r>
      <w:r w:rsidRPr="00F12C3C">
        <w:rPr>
          <w:rFonts w:eastAsia="Arial" w:cs="Arial"/>
          <w:sz w:val="20"/>
          <w:lang w:val="en-US"/>
        </w:rPr>
        <w:t xml:space="preserve"> Partnerships will be established with government and civil society organization/non-governmental organization (CSO/NGO) in line with the IPR vision, and within the scope of Outcome 2, for the implementation of related activities.  UNDP will adopt the Harmonized Approach to Cash Transfer (HACT) framework, in order to assess the capacity of IP’s, provide assurance and capacity development support throughout the implementation of activities.  UNDP will conclude micro assessments for each IP and accordingly agree on the implementing arrangement as well as cash transfer and disbursement modality to be applied. During implementation UNDP will establish assurance plans and implement assurance activities through spot check, programme monitoring and audits.  UNDP will collaborate closely with IPs to ensure systems are in place to monitor and respond to internal and external risks (for more details, please see section 61).</w:t>
      </w:r>
    </w:p>
    <w:p w14:paraId="2F9E4ACB" w14:textId="77777777" w:rsidR="004002DA" w:rsidRPr="004002DA" w:rsidRDefault="004002DA" w:rsidP="004002DA">
      <w:pPr>
        <w:rPr>
          <w:rFonts w:asciiTheme="minorBidi" w:hAnsiTheme="minorBidi" w:cstheme="minorBidi"/>
          <w:bCs/>
          <w:color w:val="808080"/>
          <w:sz w:val="19"/>
          <w:lang w:val="en-US"/>
        </w:rPr>
      </w:pPr>
      <w:bookmarkStart w:id="15" w:name="_Toc40980611"/>
      <w:r w:rsidRPr="004002DA">
        <w:rPr>
          <w:rFonts w:asciiTheme="minorBidi" w:hAnsiTheme="minorBidi" w:cstheme="minorBidi"/>
          <w:lang w:val="en-US"/>
        </w:rPr>
        <w:br w:type="page"/>
      </w:r>
    </w:p>
    <w:p w14:paraId="66A81513" w14:textId="77777777" w:rsidR="004002DA" w:rsidRPr="0041504B" w:rsidRDefault="004002DA" w:rsidP="004002DA">
      <w:pPr>
        <w:pStyle w:val="Caption"/>
        <w:keepNext/>
        <w:spacing w:before="120"/>
        <w:rPr>
          <w:rFonts w:asciiTheme="minorBidi" w:hAnsiTheme="minorBidi" w:cstheme="minorBidi"/>
        </w:rPr>
      </w:pPr>
      <w:r w:rsidRPr="0041504B">
        <w:rPr>
          <w:rFonts w:asciiTheme="minorBidi" w:hAnsiTheme="minorBidi" w:cstheme="minorBidi"/>
        </w:rPr>
        <w:lastRenderedPageBreak/>
        <w:t xml:space="preserve">Table </w:t>
      </w:r>
      <w:r w:rsidRPr="0041504B">
        <w:rPr>
          <w:rFonts w:asciiTheme="minorBidi" w:hAnsiTheme="minorBidi" w:cstheme="minorBidi"/>
          <w:color w:val="2B579A"/>
        </w:rPr>
        <w:fldChar w:fldCharType="begin"/>
      </w:r>
      <w:r w:rsidRPr="0041504B">
        <w:rPr>
          <w:rFonts w:asciiTheme="minorBidi" w:hAnsiTheme="minorBidi" w:cstheme="minorBidi"/>
        </w:rPr>
        <w:instrText xml:space="preserve"> SEQ Table \* ARABIC </w:instrText>
      </w:r>
      <w:r w:rsidRPr="0041504B">
        <w:rPr>
          <w:rFonts w:asciiTheme="minorBidi" w:hAnsiTheme="minorBidi" w:cstheme="minorBidi"/>
          <w:color w:val="2B579A"/>
        </w:rPr>
        <w:fldChar w:fldCharType="separate"/>
      </w:r>
      <w:r>
        <w:rPr>
          <w:rFonts w:asciiTheme="minorBidi" w:hAnsiTheme="minorBidi" w:cstheme="minorBidi"/>
          <w:noProof/>
        </w:rPr>
        <w:t>4</w:t>
      </w:r>
      <w:r w:rsidRPr="0041504B">
        <w:rPr>
          <w:rFonts w:asciiTheme="minorBidi" w:hAnsiTheme="minorBidi" w:cstheme="minorBidi"/>
          <w:color w:val="2B579A"/>
        </w:rPr>
        <w:fldChar w:fldCharType="end"/>
      </w:r>
      <w:r w:rsidRPr="0041504B">
        <w:rPr>
          <w:rFonts w:asciiTheme="minorBidi" w:hAnsiTheme="minorBidi" w:cstheme="minorBidi"/>
        </w:rPr>
        <w:t>: Resources Required to Achieve the Expected Results</w:t>
      </w:r>
      <w:bookmarkEnd w:id="15"/>
      <w:r w:rsidRPr="0041504B">
        <w:rPr>
          <w:rFonts w:asciiTheme="minorBidi" w:hAnsiTheme="minorBidi" w:cstheme="minorBidi"/>
        </w:rPr>
        <w:t xml:space="preserve"> </w:t>
      </w:r>
    </w:p>
    <w:tbl>
      <w:tblPr>
        <w:tblStyle w:val="TableGrid"/>
        <w:tblW w:w="9513" w:type="dxa"/>
        <w:jc w:val="right"/>
        <w:tblLayout w:type="fixed"/>
        <w:tblLook w:val="04A0" w:firstRow="1" w:lastRow="0" w:firstColumn="1" w:lastColumn="0" w:noHBand="0" w:noVBand="1"/>
      </w:tblPr>
      <w:tblGrid>
        <w:gridCol w:w="3235"/>
        <w:gridCol w:w="3330"/>
        <w:gridCol w:w="2948"/>
      </w:tblGrid>
      <w:tr w:rsidR="004002DA" w:rsidRPr="006F767C" w14:paraId="001A2E05" w14:textId="77777777" w:rsidTr="004002DA">
        <w:trPr>
          <w:jc w:val="right"/>
        </w:trPr>
        <w:tc>
          <w:tcPr>
            <w:tcW w:w="3235" w:type="dxa"/>
            <w:shd w:val="clear" w:color="auto" w:fill="EEECE1" w:themeFill="background2"/>
          </w:tcPr>
          <w:p w14:paraId="593D771B" w14:textId="77777777" w:rsidR="004002DA" w:rsidRPr="00F12C3C" w:rsidRDefault="004002DA" w:rsidP="004002DA">
            <w:pPr>
              <w:spacing w:before="40" w:after="40"/>
              <w:rPr>
                <w:rFonts w:eastAsia="MS Mincho" w:cs="Arial"/>
                <w:b/>
                <w:sz w:val="20"/>
                <w:lang w:val="en-US"/>
              </w:rPr>
            </w:pPr>
            <w:r w:rsidRPr="00F12C3C">
              <w:rPr>
                <w:rFonts w:eastAsia="MS Mincho" w:cs="Arial"/>
                <w:b/>
                <w:sz w:val="20"/>
                <w:lang w:val="en-US"/>
              </w:rPr>
              <w:t>Position/function (full- or part-time)</w:t>
            </w:r>
          </w:p>
        </w:tc>
        <w:tc>
          <w:tcPr>
            <w:tcW w:w="3330" w:type="dxa"/>
            <w:shd w:val="clear" w:color="auto" w:fill="EEECE1" w:themeFill="background2"/>
          </w:tcPr>
          <w:p w14:paraId="260F34A8" w14:textId="77777777" w:rsidR="004002DA" w:rsidRPr="00F12C3C" w:rsidRDefault="004002DA" w:rsidP="004002DA">
            <w:pPr>
              <w:spacing w:before="40" w:after="40"/>
              <w:rPr>
                <w:rFonts w:eastAsia="MS Mincho" w:cs="Arial"/>
                <w:b/>
                <w:sz w:val="20"/>
              </w:rPr>
            </w:pPr>
            <w:r w:rsidRPr="00F12C3C">
              <w:rPr>
                <w:rFonts w:eastAsia="MS Mincho" w:cs="Arial"/>
                <w:b/>
                <w:sz w:val="20"/>
              </w:rPr>
              <w:t>Main responsibilities</w:t>
            </w:r>
          </w:p>
        </w:tc>
        <w:tc>
          <w:tcPr>
            <w:tcW w:w="2948" w:type="dxa"/>
            <w:shd w:val="clear" w:color="auto" w:fill="EEECE1" w:themeFill="background2"/>
          </w:tcPr>
          <w:p w14:paraId="3063CF73" w14:textId="77777777" w:rsidR="004002DA" w:rsidRPr="00F12C3C" w:rsidRDefault="004002DA" w:rsidP="004002DA">
            <w:pPr>
              <w:spacing w:before="40" w:after="40"/>
              <w:rPr>
                <w:rFonts w:eastAsia="MS Mincho" w:cs="Arial"/>
                <w:b/>
                <w:sz w:val="20"/>
                <w:lang w:val="en-US"/>
              </w:rPr>
            </w:pPr>
            <w:r w:rsidRPr="00F12C3C">
              <w:rPr>
                <w:rFonts w:eastAsia="MS Mincho" w:cs="Arial"/>
                <w:b/>
                <w:sz w:val="20"/>
                <w:lang w:val="en-US"/>
              </w:rPr>
              <w:t xml:space="preserve">Filled by existing staff or new hire? </w:t>
            </w:r>
          </w:p>
        </w:tc>
      </w:tr>
      <w:tr w:rsidR="004002DA" w:rsidRPr="006F767C" w14:paraId="2A515FBF" w14:textId="77777777" w:rsidTr="004002DA">
        <w:trPr>
          <w:jc w:val="right"/>
        </w:trPr>
        <w:tc>
          <w:tcPr>
            <w:tcW w:w="9513" w:type="dxa"/>
            <w:gridSpan w:val="3"/>
            <w:shd w:val="clear" w:color="auto" w:fill="EEECE1" w:themeFill="background2"/>
          </w:tcPr>
          <w:p w14:paraId="076434FC" w14:textId="77777777" w:rsidR="004002DA" w:rsidRPr="00F12C3C" w:rsidRDefault="004002DA" w:rsidP="004002DA">
            <w:pPr>
              <w:spacing w:before="40" w:after="40"/>
              <w:rPr>
                <w:rFonts w:eastAsia="MS Mincho" w:cs="Arial"/>
                <w:b/>
                <w:sz w:val="20"/>
                <w:lang w:val="en-US"/>
              </w:rPr>
            </w:pPr>
            <w:r w:rsidRPr="00F12C3C">
              <w:rPr>
                <w:rFonts w:eastAsia="MS Mincho" w:cs="Arial"/>
                <w:b/>
                <w:sz w:val="20"/>
                <w:lang w:val="en-US"/>
              </w:rPr>
              <w:t>Project Implementation Unit (Staff Project Cost)</w:t>
            </w:r>
          </w:p>
        </w:tc>
      </w:tr>
      <w:tr w:rsidR="004002DA" w:rsidRPr="00F12C3C" w14:paraId="344F72F3" w14:textId="77777777" w:rsidTr="004002DA">
        <w:trPr>
          <w:jc w:val="right"/>
        </w:trPr>
        <w:tc>
          <w:tcPr>
            <w:tcW w:w="3235" w:type="dxa"/>
          </w:tcPr>
          <w:p w14:paraId="0ED2ED16" w14:textId="77777777" w:rsidR="004002DA" w:rsidRPr="00F12C3C" w:rsidRDefault="004002DA" w:rsidP="004002DA">
            <w:pPr>
              <w:spacing w:before="40" w:after="40"/>
              <w:rPr>
                <w:rFonts w:eastAsia="MS Mincho" w:cs="Arial"/>
                <w:sz w:val="20"/>
              </w:rPr>
            </w:pPr>
            <w:r w:rsidRPr="00F12C3C">
              <w:rPr>
                <w:rFonts w:eastAsia="MS Mincho" w:cs="Arial"/>
                <w:sz w:val="20"/>
              </w:rPr>
              <w:t>Project Manager (100%)</w:t>
            </w:r>
          </w:p>
        </w:tc>
        <w:tc>
          <w:tcPr>
            <w:tcW w:w="3330" w:type="dxa"/>
          </w:tcPr>
          <w:p w14:paraId="4CDE0CE4" w14:textId="77777777" w:rsidR="004002DA" w:rsidRPr="00F12C3C" w:rsidRDefault="004002DA" w:rsidP="004002DA">
            <w:pPr>
              <w:spacing w:before="40" w:after="40"/>
              <w:rPr>
                <w:rFonts w:eastAsia="MS Mincho" w:cs="Arial"/>
                <w:sz w:val="20"/>
              </w:rPr>
            </w:pPr>
            <w:r w:rsidRPr="00F12C3C">
              <w:rPr>
                <w:rFonts w:eastAsia="MS Mincho" w:cs="Arial"/>
                <w:sz w:val="20"/>
              </w:rPr>
              <w:t>Daily management of IPR</w:t>
            </w:r>
          </w:p>
        </w:tc>
        <w:tc>
          <w:tcPr>
            <w:tcW w:w="2948" w:type="dxa"/>
          </w:tcPr>
          <w:p w14:paraId="7DA1693E" w14:textId="77777777" w:rsidR="004002DA" w:rsidRPr="00F12C3C" w:rsidRDefault="004002DA" w:rsidP="004002DA">
            <w:pPr>
              <w:spacing w:before="40" w:after="40"/>
              <w:rPr>
                <w:rFonts w:eastAsia="MS Mincho" w:cs="Arial"/>
                <w:sz w:val="20"/>
              </w:rPr>
            </w:pPr>
            <w:r w:rsidRPr="00F12C3C">
              <w:rPr>
                <w:rFonts w:eastAsia="MS Mincho" w:cs="Arial"/>
                <w:sz w:val="20"/>
              </w:rPr>
              <w:t>New hire</w:t>
            </w:r>
          </w:p>
        </w:tc>
      </w:tr>
      <w:tr w:rsidR="004002DA" w:rsidRPr="00F12C3C" w14:paraId="01CDE7EB" w14:textId="77777777" w:rsidTr="004002DA">
        <w:trPr>
          <w:jc w:val="right"/>
        </w:trPr>
        <w:tc>
          <w:tcPr>
            <w:tcW w:w="3235" w:type="dxa"/>
          </w:tcPr>
          <w:p w14:paraId="66F99ED4" w14:textId="77777777" w:rsidR="004002DA" w:rsidRPr="00F12C3C" w:rsidRDefault="004002DA" w:rsidP="004002DA">
            <w:pPr>
              <w:spacing w:before="40" w:after="40"/>
              <w:rPr>
                <w:rFonts w:eastAsia="MS Mincho" w:cs="Arial"/>
                <w:sz w:val="20"/>
              </w:rPr>
            </w:pPr>
            <w:r w:rsidRPr="00F12C3C">
              <w:rPr>
                <w:rFonts w:eastAsia="MS Mincho" w:cs="Arial"/>
                <w:sz w:val="20"/>
              </w:rPr>
              <w:t>Programme Associate (100%)</w:t>
            </w:r>
          </w:p>
        </w:tc>
        <w:tc>
          <w:tcPr>
            <w:tcW w:w="3330" w:type="dxa"/>
          </w:tcPr>
          <w:p w14:paraId="114F20F5" w14:textId="77777777" w:rsidR="004002DA" w:rsidRPr="00F12C3C" w:rsidRDefault="004002DA" w:rsidP="004002DA">
            <w:pPr>
              <w:spacing w:before="40" w:after="40"/>
              <w:rPr>
                <w:rFonts w:eastAsia="MS Mincho" w:cs="Arial"/>
                <w:sz w:val="20"/>
                <w:lang w:val="en-US"/>
              </w:rPr>
            </w:pPr>
            <w:r w:rsidRPr="00F12C3C">
              <w:rPr>
                <w:rFonts w:eastAsia="MS Mincho" w:cs="Arial"/>
                <w:sz w:val="20"/>
                <w:lang w:val="en-US"/>
              </w:rPr>
              <w:t>Support the implementation of IPR (Programmatic assistance, financial and administrative)</w:t>
            </w:r>
          </w:p>
        </w:tc>
        <w:tc>
          <w:tcPr>
            <w:tcW w:w="2948" w:type="dxa"/>
          </w:tcPr>
          <w:p w14:paraId="23B006BC" w14:textId="77777777" w:rsidR="004002DA" w:rsidRPr="00F12C3C" w:rsidRDefault="004002DA" w:rsidP="004002DA">
            <w:pPr>
              <w:spacing w:before="40" w:after="40"/>
              <w:rPr>
                <w:rFonts w:eastAsia="MS Mincho" w:cs="Arial"/>
                <w:sz w:val="20"/>
              </w:rPr>
            </w:pPr>
            <w:r w:rsidRPr="00F12C3C">
              <w:rPr>
                <w:rFonts w:eastAsia="MS Mincho" w:cs="Arial"/>
                <w:sz w:val="20"/>
              </w:rPr>
              <w:t>New hire</w:t>
            </w:r>
          </w:p>
          <w:p w14:paraId="32FF28D3" w14:textId="77777777" w:rsidR="004002DA" w:rsidRPr="00F12C3C" w:rsidRDefault="004002DA" w:rsidP="004002DA">
            <w:pPr>
              <w:spacing w:before="40" w:after="40"/>
              <w:rPr>
                <w:rFonts w:eastAsia="MS Mincho" w:cs="Arial"/>
                <w:sz w:val="20"/>
              </w:rPr>
            </w:pPr>
          </w:p>
        </w:tc>
      </w:tr>
      <w:tr w:rsidR="004002DA" w:rsidRPr="00F12C3C" w14:paraId="207E34C7" w14:textId="77777777" w:rsidTr="004002DA">
        <w:trPr>
          <w:jc w:val="right"/>
        </w:trPr>
        <w:tc>
          <w:tcPr>
            <w:tcW w:w="3235" w:type="dxa"/>
          </w:tcPr>
          <w:p w14:paraId="5346DDDD" w14:textId="77777777" w:rsidR="004002DA" w:rsidRPr="00F12C3C" w:rsidRDefault="004002DA" w:rsidP="004002DA">
            <w:pPr>
              <w:rPr>
                <w:rFonts w:eastAsia="MS Mincho" w:cs="Arial"/>
                <w:sz w:val="20"/>
                <w:highlight w:val="yellow"/>
                <w:lang w:val="en-US"/>
              </w:rPr>
            </w:pPr>
            <w:r w:rsidRPr="00F12C3C">
              <w:rPr>
                <w:rFonts w:eastAsia="Arial" w:cs="Arial"/>
                <w:sz w:val="20"/>
                <w:lang w:val="en-US"/>
              </w:rPr>
              <w:t>Quality technical assurance and upper-site supervision</w:t>
            </w:r>
          </w:p>
        </w:tc>
        <w:tc>
          <w:tcPr>
            <w:tcW w:w="3330" w:type="dxa"/>
          </w:tcPr>
          <w:p w14:paraId="60BA49AB" w14:textId="77777777" w:rsidR="004002DA" w:rsidRPr="00F12C3C" w:rsidRDefault="004002DA" w:rsidP="004002DA">
            <w:pPr>
              <w:spacing w:line="257" w:lineRule="auto"/>
              <w:rPr>
                <w:rFonts w:eastAsia="MS Mincho" w:cs="Arial"/>
                <w:sz w:val="20"/>
                <w:lang w:val="en-US"/>
              </w:rPr>
            </w:pPr>
            <w:r w:rsidRPr="00F12C3C">
              <w:rPr>
                <w:rFonts w:eastAsia="MS Mincho" w:cs="Arial"/>
                <w:sz w:val="20"/>
                <w:lang w:val="en-US"/>
              </w:rPr>
              <w:t>Quality engineering services for the civil works activities</w:t>
            </w:r>
          </w:p>
        </w:tc>
        <w:tc>
          <w:tcPr>
            <w:tcW w:w="2948" w:type="dxa"/>
          </w:tcPr>
          <w:p w14:paraId="65A9028E" w14:textId="77777777" w:rsidR="004002DA" w:rsidRPr="00F12C3C" w:rsidRDefault="004002DA" w:rsidP="004002DA">
            <w:pPr>
              <w:spacing w:before="40" w:after="40"/>
              <w:rPr>
                <w:rFonts w:eastAsia="MS Mincho" w:cs="Arial"/>
                <w:sz w:val="20"/>
              </w:rPr>
            </w:pPr>
            <w:r w:rsidRPr="00F12C3C">
              <w:rPr>
                <w:rFonts w:eastAsia="MS Mincho" w:cs="Arial"/>
                <w:sz w:val="20"/>
              </w:rPr>
              <w:t>New hire</w:t>
            </w:r>
          </w:p>
          <w:p w14:paraId="1FD3EED5" w14:textId="77777777" w:rsidR="004002DA" w:rsidRPr="00F12C3C" w:rsidRDefault="004002DA" w:rsidP="004002DA">
            <w:pPr>
              <w:spacing w:before="40" w:after="40"/>
              <w:rPr>
                <w:rFonts w:eastAsia="MS Mincho" w:cs="Arial"/>
                <w:sz w:val="20"/>
              </w:rPr>
            </w:pPr>
          </w:p>
        </w:tc>
      </w:tr>
      <w:tr w:rsidR="004002DA" w:rsidRPr="00F12C3C" w14:paraId="45C9D13F" w14:textId="77777777" w:rsidTr="004002DA">
        <w:trPr>
          <w:jc w:val="right"/>
        </w:trPr>
        <w:tc>
          <w:tcPr>
            <w:tcW w:w="9513" w:type="dxa"/>
            <w:gridSpan w:val="3"/>
            <w:shd w:val="clear" w:color="auto" w:fill="EEECE1" w:themeFill="background2"/>
          </w:tcPr>
          <w:p w14:paraId="24BB7024" w14:textId="77777777" w:rsidR="004002DA" w:rsidRPr="00F12C3C" w:rsidRDefault="004002DA" w:rsidP="004002DA">
            <w:pPr>
              <w:spacing w:before="40" w:after="40"/>
              <w:rPr>
                <w:rFonts w:eastAsia="MS Mincho" w:cs="Arial"/>
                <w:sz w:val="20"/>
              </w:rPr>
            </w:pPr>
            <w:r w:rsidRPr="00F12C3C">
              <w:rPr>
                <w:rFonts w:eastAsia="MS Mincho" w:cs="Arial"/>
                <w:b/>
                <w:sz w:val="20"/>
              </w:rPr>
              <w:t>Direct Project Costs</w:t>
            </w:r>
          </w:p>
        </w:tc>
      </w:tr>
      <w:tr w:rsidR="004002DA" w:rsidRPr="00F12C3C" w14:paraId="7363C36E" w14:textId="77777777" w:rsidTr="004002DA">
        <w:trPr>
          <w:jc w:val="right"/>
        </w:trPr>
        <w:tc>
          <w:tcPr>
            <w:tcW w:w="3235" w:type="dxa"/>
          </w:tcPr>
          <w:p w14:paraId="6A6D3241" w14:textId="77777777" w:rsidR="004002DA" w:rsidRPr="00F12C3C" w:rsidRDefault="004002DA" w:rsidP="004002DA">
            <w:pPr>
              <w:rPr>
                <w:rFonts w:cs="Arial"/>
                <w:sz w:val="20"/>
              </w:rPr>
            </w:pPr>
            <w:r w:rsidRPr="00F12C3C">
              <w:rPr>
                <w:rFonts w:eastAsia="MS Mincho" w:cs="Arial"/>
                <w:sz w:val="20"/>
              </w:rPr>
              <w:t>Resilience/ Social Cohesion Specialist (40%)</w:t>
            </w:r>
          </w:p>
        </w:tc>
        <w:tc>
          <w:tcPr>
            <w:tcW w:w="3330" w:type="dxa"/>
          </w:tcPr>
          <w:p w14:paraId="7A2DD5AE" w14:textId="77777777" w:rsidR="004002DA" w:rsidRPr="00F12C3C" w:rsidRDefault="004002DA" w:rsidP="004002DA">
            <w:pPr>
              <w:rPr>
                <w:rFonts w:eastAsia="MS Mincho" w:cs="Arial"/>
                <w:sz w:val="20"/>
                <w:lang w:val="en-US"/>
              </w:rPr>
            </w:pPr>
            <w:r w:rsidRPr="00F12C3C">
              <w:rPr>
                <w:rFonts w:eastAsia="MS Mincho" w:cs="Arial"/>
                <w:sz w:val="20"/>
                <w:lang w:val="en-US"/>
              </w:rPr>
              <w:t xml:space="preserve">Programmatic management and technical backstopping for resilience, social cohesion and peace/trust building activities.  </w:t>
            </w:r>
          </w:p>
        </w:tc>
        <w:tc>
          <w:tcPr>
            <w:tcW w:w="2948" w:type="dxa"/>
          </w:tcPr>
          <w:p w14:paraId="4B6B6DE5" w14:textId="77777777" w:rsidR="004002DA" w:rsidRPr="00F12C3C" w:rsidRDefault="004002DA" w:rsidP="004002DA">
            <w:pPr>
              <w:rPr>
                <w:rFonts w:eastAsia="MS Mincho" w:cs="Arial"/>
                <w:sz w:val="20"/>
              </w:rPr>
            </w:pPr>
            <w:r w:rsidRPr="00F12C3C">
              <w:rPr>
                <w:rFonts w:eastAsia="MS Mincho" w:cs="Arial"/>
                <w:sz w:val="20"/>
              </w:rPr>
              <w:t>New hire</w:t>
            </w:r>
          </w:p>
        </w:tc>
      </w:tr>
      <w:tr w:rsidR="004002DA" w:rsidRPr="00F12C3C" w14:paraId="7D84D990" w14:textId="77777777" w:rsidTr="004002DA">
        <w:trPr>
          <w:jc w:val="right"/>
        </w:trPr>
        <w:tc>
          <w:tcPr>
            <w:tcW w:w="3235" w:type="dxa"/>
          </w:tcPr>
          <w:p w14:paraId="554D399D" w14:textId="77777777" w:rsidR="004002DA" w:rsidRPr="00F12C3C" w:rsidRDefault="004002DA" w:rsidP="004002DA">
            <w:pPr>
              <w:rPr>
                <w:rFonts w:eastAsia="MS Mincho" w:cs="Arial"/>
                <w:sz w:val="20"/>
                <w:lang w:val="en-US"/>
              </w:rPr>
            </w:pPr>
            <w:r w:rsidRPr="00F12C3C">
              <w:rPr>
                <w:rFonts w:eastAsia="MS Mincho" w:cs="Arial"/>
                <w:sz w:val="20"/>
                <w:lang w:val="en-US"/>
              </w:rPr>
              <w:t xml:space="preserve">Procurement Analyst (50% for the first 12 months) </w:t>
            </w:r>
          </w:p>
        </w:tc>
        <w:tc>
          <w:tcPr>
            <w:tcW w:w="3330" w:type="dxa"/>
          </w:tcPr>
          <w:p w14:paraId="0EA8102F" w14:textId="77777777" w:rsidR="004002DA" w:rsidRPr="00F12C3C" w:rsidRDefault="004002DA" w:rsidP="004002DA">
            <w:pPr>
              <w:rPr>
                <w:rFonts w:eastAsia="MS Mincho" w:cs="Arial"/>
                <w:sz w:val="20"/>
                <w:lang w:val="en-US"/>
              </w:rPr>
            </w:pPr>
            <w:r w:rsidRPr="00F12C3C">
              <w:rPr>
                <w:rFonts w:eastAsia="MS Mincho" w:cs="Arial"/>
                <w:sz w:val="20"/>
                <w:lang w:val="en-US"/>
              </w:rPr>
              <w:t>Support the implementation of procurement activities related to Outcome 1</w:t>
            </w:r>
          </w:p>
        </w:tc>
        <w:tc>
          <w:tcPr>
            <w:tcW w:w="2948" w:type="dxa"/>
          </w:tcPr>
          <w:p w14:paraId="60818DE0" w14:textId="77777777" w:rsidR="004002DA" w:rsidRPr="00F12C3C" w:rsidRDefault="004002DA" w:rsidP="004002DA">
            <w:pPr>
              <w:spacing w:before="40" w:after="40"/>
              <w:rPr>
                <w:rFonts w:eastAsia="MS Mincho" w:cs="Arial"/>
                <w:sz w:val="20"/>
              </w:rPr>
            </w:pPr>
            <w:r w:rsidRPr="00F12C3C">
              <w:rPr>
                <w:rFonts w:eastAsia="MS Mincho" w:cs="Arial"/>
                <w:sz w:val="20"/>
              </w:rPr>
              <w:t>Existing staff</w:t>
            </w:r>
          </w:p>
          <w:p w14:paraId="652CAA0E" w14:textId="77777777" w:rsidR="004002DA" w:rsidRPr="00F12C3C" w:rsidRDefault="004002DA" w:rsidP="004002DA">
            <w:pPr>
              <w:spacing w:before="40" w:after="40"/>
              <w:rPr>
                <w:rFonts w:eastAsia="MS Mincho" w:cs="Arial"/>
                <w:sz w:val="20"/>
              </w:rPr>
            </w:pPr>
          </w:p>
        </w:tc>
      </w:tr>
      <w:tr w:rsidR="004002DA" w:rsidRPr="00F12C3C" w14:paraId="691407E8" w14:textId="77777777" w:rsidTr="004002DA">
        <w:trPr>
          <w:jc w:val="right"/>
        </w:trPr>
        <w:tc>
          <w:tcPr>
            <w:tcW w:w="3235" w:type="dxa"/>
          </w:tcPr>
          <w:p w14:paraId="6C9B5A87" w14:textId="77777777" w:rsidR="004002DA" w:rsidRPr="00F12C3C" w:rsidDel="1F72E903" w:rsidRDefault="004002DA" w:rsidP="004002DA">
            <w:pPr>
              <w:rPr>
                <w:rFonts w:eastAsia="Arial" w:cs="Arial"/>
                <w:sz w:val="20"/>
              </w:rPr>
            </w:pPr>
            <w:r w:rsidRPr="00F12C3C">
              <w:rPr>
                <w:rFonts w:eastAsia="MS Mincho" w:cs="Arial"/>
                <w:sz w:val="20"/>
              </w:rPr>
              <w:t>Portfolio Programme Manager (30%)</w:t>
            </w:r>
          </w:p>
        </w:tc>
        <w:tc>
          <w:tcPr>
            <w:tcW w:w="3330" w:type="dxa"/>
          </w:tcPr>
          <w:p w14:paraId="1EECD891" w14:textId="77777777" w:rsidR="004002DA" w:rsidRPr="00F12C3C" w:rsidRDefault="004002DA" w:rsidP="004002DA">
            <w:pPr>
              <w:rPr>
                <w:rFonts w:eastAsia="MS Mincho" w:cs="Arial"/>
                <w:sz w:val="20"/>
              </w:rPr>
            </w:pPr>
            <w:r w:rsidRPr="00F12C3C">
              <w:rPr>
                <w:rFonts w:eastAsia="MS Mincho" w:cs="Arial"/>
                <w:sz w:val="20"/>
              </w:rPr>
              <w:t>Programme Quality Assurance</w:t>
            </w:r>
          </w:p>
        </w:tc>
        <w:tc>
          <w:tcPr>
            <w:tcW w:w="2948" w:type="dxa"/>
          </w:tcPr>
          <w:p w14:paraId="7F3CFF53" w14:textId="77777777" w:rsidR="004002DA" w:rsidRPr="00F12C3C" w:rsidRDefault="004002DA" w:rsidP="004002DA">
            <w:pPr>
              <w:spacing w:before="40" w:after="40"/>
              <w:rPr>
                <w:rFonts w:eastAsia="MS Mincho" w:cs="Arial"/>
                <w:sz w:val="20"/>
              </w:rPr>
            </w:pPr>
            <w:r w:rsidRPr="00F12C3C">
              <w:rPr>
                <w:rFonts w:eastAsia="MS Mincho" w:cs="Arial"/>
                <w:sz w:val="20"/>
              </w:rPr>
              <w:t>Existing staff</w:t>
            </w:r>
          </w:p>
          <w:p w14:paraId="621C0C62" w14:textId="77777777" w:rsidR="004002DA" w:rsidRPr="00F12C3C" w:rsidRDefault="004002DA" w:rsidP="004002DA">
            <w:pPr>
              <w:spacing w:before="40" w:after="40"/>
              <w:rPr>
                <w:rFonts w:eastAsia="MS Mincho" w:cs="Arial"/>
                <w:sz w:val="20"/>
              </w:rPr>
            </w:pPr>
          </w:p>
        </w:tc>
      </w:tr>
      <w:tr w:rsidR="004002DA" w:rsidRPr="00F12C3C" w14:paraId="7CD49394" w14:textId="77777777" w:rsidTr="004002DA">
        <w:trPr>
          <w:jc w:val="right"/>
        </w:trPr>
        <w:tc>
          <w:tcPr>
            <w:tcW w:w="3235" w:type="dxa"/>
          </w:tcPr>
          <w:p w14:paraId="4080363C" w14:textId="77777777" w:rsidR="004002DA" w:rsidRPr="00F12C3C" w:rsidDel="1F72E903" w:rsidRDefault="004002DA" w:rsidP="004002DA">
            <w:pPr>
              <w:rPr>
                <w:rFonts w:eastAsia="Arial" w:cs="Arial"/>
                <w:sz w:val="20"/>
              </w:rPr>
            </w:pPr>
            <w:r w:rsidRPr="00F12C3C">
              <w:rPr>
                <w:rFonts w:eastAsia="MS Mincho" w:cs="Arial"/>
                <w:sz w:val="20"/>
              </w:rPr>
              <w:t>Communication Specialist (15%)</w:t>
            </w:r>
          </w:p>
        </w:tc>
        <w:tc>
          <w:tcPr>
            <w:tcW w:w="3330" w:type="dxa"/>
          </w:tcPr>
          <w:p w14:paraId="11AD654E" w14:textId="77777777" w:rsidR="004002DA" w:rsidRPr="00F12C3C" w:rsidRDefault="004002DA" w:rsidP="004002DA">
            <w:pPr>
              <w:rPr>
                <w:rFonts w:eastAsia="MS Mincho" w:cs="Arial"/>
                <w:sz w:val="20"/>
                <w:lang w:val="en-US"/>
              </w:rPr>
            </w:pPr>
            <w:r w:rsidRPr="00F12C3C">
              <w:rPr>
                <w:rFonts w:eastAsia="MS Mincho" w:cs="Arial"/>
                <w:sz w:val="20"/>
                <w:lang w:val="en-US"/>
              </w:rPr>
              <w:t>Support the implementation of IPR visibility and communication actions</w:t>
            </w:r>
          </w:p>
        </w:tc>
        <w:tc>
          <w:tcPr>
            <w:tcW w:w="2948" w:type="dxa"/>
          </w:tcPr>
          <w:p w14:paraId="44141C14" w14:textId="77777777" w:rsidR="004002DA" w:rsidRPr="00F12C3C" w:rsidRDefault="004002DA" w:rsidP="004002DA">
            <w:pPr>
              <w:spacing w:before="40" w:after="40"/>
              <w:rPr>
                <w:rFonts w:eastAsia="MS Mincho" w:cs="Arial"/>
                <w:sz w:val="20"/>
              </w:rPr>
            </w:pPr>
            <w:r w:rsidRPr="00F12C3C">
              <w:rPr>
                <w:rFonts w:eastAsia="MS Mincho" w:cs="Arial"/>
                <w:sz w:val="20"/>
              </w:rPr>
              <w:t>Existing staff</w:t>
            </w:r>
          </w:p>
          <w:p w14:paraId="528614B0" w14:textId="77777777" w:rsidR="004002DA" w:rsidRPr="00F12C3C" w:rsidRDefault="004002DA" w:rsidP="004002DA">
            <w:pPr>
              <w:spacing w:before="40" w:after="40"/>
              <w:rPr>
                <w:rFonts w:eastAsia="MS Mincho" w:cs="Arial"/>
                <w:sz w:val="20"/>
              </w:rPr>
            </w:pPr>
          </w:p>
        </w:tc>
      </w:tr>
      <w:tr w:rsidR="004002DA" w:rsidRPr="00F12C3C" w14:paraId="51B16082" w14:textId="77777777" w:rsidTr="004002DA">
        <w:trPr>
          <w:jc w:val="right"/>
        </w:trPr>
        <w:tc>
          <w:tcPr>
            <w:tcW w:w="3235" w:type="dxa"/>
          </w:tcPr>
          <w:p w14:paraId="022E8756" w14:textId="77777777" w:rsidR="004002DA" w:rsidRPr="00F12C3C" w:rsidDel="1F72E903" w:rsidRDefault="004002DA" w:rsidP="004002DA">
            <w:pPr>
              <w:rPr>
                <w:rFonts w:eastAsia="Arial" w:cs="Arial"/>
                <w:sz w:val="20"/>
                <w:lang w:val="en-US"/>
              </w:rPr>
            </w:pPr>
            <w:r w:rsidRPr="00F12C3C">
              <w:rPr>
                <w:rFonts w:eastAsia="MS Mincho" w:cs="Arial"/>
                <w:sz w:val="20"/>
                <w:lang w:val="en-US"/>
              </w:rPr>
              <w:t>Reporting and Monitoring (2 staff: 1 West Bank and 1 Gaza, starts from Sep 2020) (30%)</w:t>
            </w:r>
          </w:p>
        </w:tc>
        <w:tc>
          <w:tcPr>
            <w:tcW w:w="3330" w:type="dxa"/>
          </w:tcPr>
          <w:p w14:paraId="4E0A9761" w14:textId="77777777" w:rsidR="004002DA" w:rsidRPr="00F12C3C" w:rsidRDefault="004002DA" w:rsidP="004002DA">
            <w:pPr>
              <w:rPr>
                <w:rFonts w:eastAsia="MS Mincho" w:cs="Arial"/>
                <w:sz w:val="20"/>
                <w:lang w:val="en-US"/>
              </w:rPr>
            </w:pPr>
            <w:r w:rsidRPr="00F12C3C">
              <w:rPr>
                <w:rFonts w:eastAsia="MS Mincho" w:cs="Arial"/>
                <w:sz w:val="20"/>
                <w:lang w:val="en-US"/>
              </w:rPr>
              <w:t>Support the provision of reporting and carrying out the some of the quality assurance/monitoring responsibilities</w:t>
            </w:r>
          </w:p>
        </w:tc>
        <w:tc>
          <w:tcPr>
            <w:tcW w:w="2948" w:type="dxa"/>
          </w:tcPr>
          <w:p w14:paraId="075E335E" w14:textId="77777777" w:rsidR="004002DA" w:rsidRPr="00F12C3C" w:rsidRDefault="004002DA" w:rsidP="004002DA">
            <w:pPr>
              <w:spacing w:before="40" w:after="40"/>
              <w:rPr>
                <w:rFonts w:eastAsia="MS Mincho" w:cs="Arial"/>
                <w:sz w:val="20"/>
              </w:rPr>
            </w:pPr>
            <w:r w:rsidRPr="00F12C3C">
              <w:rPr>
                <w:rFonts w:eastAsia="MS Mincho" w:cs="Arial"/>
                <w:sz w:val="20"/>
              </w:rPr>
              <w:t>Existing staff</w:t>
            </w:r>
          </w:p>
          <w:p w14:paraId="43E5606F" w14:textId="77777777" w:rsidR="004002DA" w:rsidRPr="00F12C3C" w:rsidRDefault="004002DA" w:rsidP="004002DA">
            <w:pPr>
              <w:spacing w:before="40" w:after="40"/>
              <w:rPr>
                <w:rFonts w:eastAsia="MS Mincho" w:cs="Arial"/>
                <w:sz w:val="20"/>
              </w:rPr>
            </w:pPr>
          </w:p>
        </w:tc>
      </w:tr>
    </w:tbl>
    <w:p w14:paraId="1CD0416E" w14:textId="77777777" w:rsidR="004002DA" w:rsidRPr="00F12C3C" w:rsidRDefault="004002DA" w:rsidP="004002DA">
      <w:pPr>
        <w:pStyle w:val="Caption"/>
        <w:keepNext/>
        <w:spacing w:before="120"/>
        <w:rPr>
          <w:rFonts w:ascii="Arial" w:hAnsi="Arial" w:cs="Arial"/>
          <w:sz w:val="20"/>
        </w:rPr>
      </w:pPr>
      <w:bookmarkStart w:id="16" w:name="_Toc40980612"/>
      <w:r w:rsidRPr="00F12C3C">
        <w:rPr>
          <w:rFonts w:ascii="Arial" w:hAnsi="Arial" w:cs="Arial"/>
          <w:sz w:val="20"/>
        </w:rPr>
        <w:t xml:space="preserve">Table </w:t>
      </w:r>
      <w:r w:rsidRPr="00F12C3C">
        <w:rPr>
          <w:rFonts w:ascii="Arial" w:hAnsi="Arial" w:cs="Arial"/>
          <w:color w:val="2B579A"/>
          <w:sz w:val="20"/>
          <w:shd w:val="clear" w:color="auto" w:fill="E6E6E6"/>
        </w:rPr>
        <w:fldChar w:fldCharType="begin"/>
      </w:r>
      <w:r w:rsidRPr="00F12C3C">
        <w:rPr>
          <w:rFonts w:ascii="Arial" w:hAnsi="Arial" w:cs="Arial"/>
          <w:sz w:val="20"/>
        </w:rPr>
        <w:instrText xml:space="preserve"> SEQ Table \* ARABIC </w:instrText>
      </w:r>
      <w:r w:rsidRPr="00F12C3C">
        <w:rPr>
          <w:rFonts w:ascii="Arial" w:hAnsi="Arial" w:cs="Arial"/>
          <w:color w:val="2B579A"/>
          <w:sz w:val="20"/>
          <w:shd w:val="clear" w:color="auto" w:fill="E6E6E6"/>
        </w:rPr>
        <w:fldChar w:fldCharType="separate"/>
      </w:r>
      <w:r w:rsidRPr="00F12C3C">
        <w:rPr>
          <w:rFonts w:ascii="Arial" w:hAnsi="Arial" w:cs="Arial"/>
          <w:noProof/>
          <w:sz w:val="20"/>
        </w:rPr>
        <w:t>5</w:t>
      </w:r>
      <w:r w:rsidRPr="00F12C3C">
        <w:rPr>
          <w:rFonts w:ascii="Arial" w:hAnsi="Arial" w:cs="Arial"/>
          <w:color w:val="2B579A"/>
          <w:sz w:val="20"/>
          <w:shd w:val="clear" w:color="auto" w:fill="E6E6E6"/>
        </w:rPr>
        <w:fldChar w:fldCharType="end"/>
      </w:r>
      <w:r w:rsidRPr="00F12C3C">
        <w:rPr>
          <w:rFonts w:ascii="Arial" w:hAnsi="Arial" w:cs="Arial"/>
          <w:sz w:val="20"/>
        </w:rPr>
        <w:t>: Coverage rate country programme</w:t>
      </w:r>
      <w:bookmarkEnd w:id="16"/>
    </w:p>
    <w:tbl>
      <w:tblPr>
        <w:tblW w:w="9450" w:type="dxa"/>
        <w:tblInd w:w="85" w:type="dxa"/>
        <w:tblCellMar>
          <w:left w:w="70" w:type="dxa"/>
          <w:right w:w="70" w:type="dxa"/>
        </w:tblCellMar>
        <w:tblLook w:val="04A0" w:firstRow="1" w:lastRow="0" w:firstColumn="1" w:lastColumn="0" w:noHBand="0" w:noVBand="1"/>
      </w:tblPr>
      <w:tblGrid>
        <w:gridCol w:w="2700"/>
        <w:gridCol w:w="1890"/>
        <w:gridCol w:w="1680"/>
        <w:gridCol w:w="1470"/>
        <w:gridCol w:w="1710"/>
      </w:tblGrid>
      <w:tr w:rsidR="004002DA" w:rsidRPr="00F12C3C" w14:paraId="2743C9B9" w14:textId="77777777" w:rsidTr="004002DA">
        <w:trPr>
          <w:trHeight w:val="459"/>
        </w:trPr>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C6AE981" w14:textId="77777777" w:rsidR="004002DA" w:rsidRPr="00F12C3C" w:rsidRDefault="004002DA" w:rsidP="004002DA">
            <w:pPr>
              <w:jc w:val="center"/>
              <w:rPr>
                <w:rFonts w:cs="Arial"/>
                <w:b/>
                <w:color w:val="000000"/>
                <w:sz w:val="20"/>
              </w:rPr>
            </w:pPr>
            <w:r w:rsidRPr="00F12C3C">
              <w:rPr>
                <w:rFonts w:cs="Arial"/>
                <w:b/>
                <w:color w:val="000000"/>
                <w:sz w:val="20"/>
              </w:rPr>
              <w:t>Outcome</w:t>
            </w:r>
          </w:p>
        </w:tc>
        <w:tc>
          <w:tcPr>
            <w:tcW w:w="1890" w:type="dxa"/>
            <w:tcBorders>
              <w:top w:val="single" w:sz="4" w:space="0" w:color="auto"/>
              <w:left w:val="nil"/>
              <w:bottom w:val="single" w:sz="4" w:space="0" w:color="auto"/>
              <w:right w:val="single" w:sz="4" w:space="0" w:color="auto"/>
            </w:tcBorders>
            <w:shd w:val="clear" w:color="auto" w:fill="EEECE1" w:themeFill="background2"/>
            <w:hideMark/>
          </w:tcPr>
          <w:p w14:paraId="2C8D042F" w14:textId="77777777" w:rsidR="004002DA" w:rsidRPr="00F12C3C" w:rsidRDefault="004002DA" w:rsidP="004002DA">
            <w:pPr>
              <w:jc w:val="center"/>
              <w:rPr>
                <w:rFonts w:cs="Arial"/>
                <w:b/>
                <w:color w:val="000000"/>
                <w:sz w:val="20"/>
              </w:rPr>
            </w:pPr>
            <w:r w:rsidRPr="00F12C3C">
              <w:rPr>
                <w:rFonts w:cs="Arial"/>
                <w:b/>
                <w:color w:val="000000"/>
                <w:sz w:val="20"/>
              </w:rPr>
              <w:t>Total Cost (Country Budget)</w:t>
            </w:r>
          </w:p>
        </w:tc>
        <w:tc>
          <w:tcPr>
            <w:tcW w:w="1680" w:type="dxa"/>
            <w:tcBorders>
              <w:top w:val="single" w:sz="4" w:space="0" w:color="auto"/>
              <w:left w:val="nil"/>
              <w:bottom w:val="single" w:sz="4" w:space="0" w:color="auto"/>
              <w:right w:val="single" w:sz="4" w:space="0" w:color="auto"/>
            </w:tcBorders>
            <w:shd w:val="clear" w:color="auto" w:fill="EEECE1" w:themeFill="background2"/>
            <w:hideMark/>
          </w:tcPr>
          <w:p w14:paraId="38E63E8A" w14:textId="77777777" w:rsidR="004002DA" w:rsidRPr="00F12C3C" w:rsidRDefault="004002DA" w:rsidP="004002DA">
            <w:pPr>
              <w:jc w:val="center"/>
              <w:rPr>
                <w:rFonts w:cs="Arial"/>
                <w:b/>
                <w:color w:val="000000"/>
                <w:sz w:val="20"/>
              </w:rPr>
            </w:pPr>
            <w:r w:rsidRPr="00F12C3C">
              <w:rPr>
                <w:rFonts w:cs="Arial"/>
                <w:b/>
                <w:color w:val="000000"/>
                <w:sz w:val="20"/>
              </w:rPr>
              <w:t xml:space="preserve">Covered </w:t>
            </w:r>
          </w:p>
          <w:p w14:paraId="73FA0833" w14:textId="77777777" w:rsidR="004002DA" w:rsidRPr="00F12C3C" w:rsidRDefault="004002DA" w:rsidP="004002DA">
            <w:pPr>
              <w:jc w:val="center"/>
              <w:rPr>
                <w:rFonts w:cs="Arial"/>
                <w:b/>
                <w:color w:val="000000"/>
                <w:sz w:val="20"/>
              </w:rPr>
            </w:pPr>
            <w:r w:rsidRPr="00F12C3C">
              <w:rPr>
                <w:rFonts w:cs="Arial"/>
                <w:b/>
                <w:color w:val="000000"/>
                <w:sz w:val="20"/>
              </w:rPr>
              <w:t>by Project</w:t>
            </w:r>
          </w:p>
        </w:tc>
        <w:tc>
          <w:tcPr>
            <w:tcW w:w="1470" w:type="dxa"/>
            <w:tcBorders>
              <w:top w:val="single" w:sz="4" w:space="0" w:color="auto"/>
              <w:left w:val="nil"/>
              <w:bottom w:val="single" w:sz="4" w:space="0" w:color="auto"/>
              <w:right w:val="single" w:sz="4" w:space="0" w:color="auto"/>
            </w:tcBorders>
            <w:shd w:val="clear" w:color="auto" w:fill="EEECE1" w:themeFill="background2"/>
            <w:hideMark/>
          </w:tcPr>
          <w:p w14:paraId="5A198516" w14:textId="77777777" w:rsidR="004002DA" w:rsidRPr="00F12C3C" w:rsidRDefault="004002DA" w:rsidP="004002DA">
            <w:pPr>
              <w:jc w:val="center"/>
              <w:rPr>
                <w:rFonts w:cs="Arial"/>
                <w:b/>
                <w:color w:val="000000"/>
                <w:sz w:val="20"/>
              </w:rPr>
            </w:pPr>
            <w:r w:rsidRPr="00F12C3C">
              <w:rPr>
                <w:rFonts w:cs="Arial"/>
                <w:b/>
                <w:color w:val="000000"/>
                <w:sz w:val="20"/>
              </w:rPr>
              <w:t>Covered by other sources</w:t>
            </w:r>
          </w:p>
        </w:tc>
        <w:tc>
          <w:tcPr>
            <w:tcW w:w="1710" w:type="dxa"/>
            <w:tcBorders>
              <w:top w:val="single" w:sz="4" w:space="0" w:color="auto"/>
              <w:left w:val="nil"/>
              <w:bottom w:val="single" w:sz="4" w:space="0" w:color="auto"/>
              <w:right w:val="single" w:sz="4" w:space="0" w:color="auto"/>
            </w:tcBorders>
            <w:shd w:val="clear" w:color="auto" w:fill="EEECE1" w:themeFill="background2"/>
            <w:hideMark/>
          </w:tcPr>
          <w:p w14:paraId="201380E0" w14:textId="77777777" w:rsidR="004002DA" w:rsidRPr="00F12C3C" w:rsidRDefault="004002DA" w:rsidP="004002DA">
            <w:pPr>
              <w:jc w:val="center"/>
              <w:rPr>
                <w:rFonts w:cs="Arial"/>
                <w:b/>
                <w:color w:val="000000"/>
                <w:sz w:val="20"/>
              </w:rPr>
            </w:pPr>
            <w:r w:rsidRPr="00F12C3C">
              <w:rPr>
                <w:rFonts w:cs="Arial"/>
                <w:b/>
                <w:color w:val="000000"/>
                <w:sz w:val="20"/>
              </w:rPr>
              <w:t>Funding Gap</w:t>
            </w:r>
          </w:p>
        </w:tc>
      </w:tr>
      <w:tr w:rsidR="004002DA" w:rsidRPr="00F12C3C" w14:paraId="5581CBFB" w14:textId="77777777" w:rsidTr="004002DA">
        <w:trPr>
          <w:trHeight w:val="321"/>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E9E8875" w14:textId="77777777" w:rsidR="004002DA" w:rsidRPr="00F12C3C" w:rsidRDefault="004002DA" w:rsidP="004002DA">
            <w:pPr>
              <w:spacing w:before="120" w:after="120"/>
              <w:rPr>
                <w:rFonts w:cs="Arial"/>
                <w:sz w:val="20"/>
                <w:lang w:val="en-US"/>
              </w:rPr>
            </w:pPr>
            <w:r w:rsidRPr="00F12C3C">
              <w:rPr>
                <w:rFonts w:cs="Arial"/>
                <w:sz w:val="20"/>
                <w:lang w:val="en-US"/>
              </w:rPr>
              <w:t xml:space="preserve">Outcome 1: Health response capacity of the government and partners strengthened to cope with the immediate </w:t>
            </w:r>
            <w:r w:rsidRPr="00F12C3C">
              <w:rPr>
                <w:rFonts w:cs="Arial"/>
                <w:sz w:val="20"/>
                <w:lang w:val="en-US"/>
              </w:rPr>
              <w:lastRenderedPageBreak/>
              <w:t>needs of the COVID-19 crisis</w:t>
            </w:r>
          </w:p>
        </w:tc>
        <w:tc>
          <w:tcPr>
            <w:tcW w:w="1890" w:type="dxa"/>
            <w:tcBorders>
              <w:top w:val="nil"/>
              <w:left w:val="nil"/>
              <w:bottom w:val="single" w:sz="4" w:space="0" w:color="auto"/>
              <w:right w:val="single" w:sz="4" w:space="0" w:color="auto"/>
            </w:tcBorders>
            <w:shd w:val="clear" w:color="auto" w:fill="auto"/>
            <w:vAlign w:val="center"/>
            <w:hideMark/>
          </w:tcPr>
          <w:p w14:paraId="52E5F0EE" w14:textId="77777777" w:rsidR="004002DA" w:rsidRPr="00F12C3C" w:rsidRDefault="004002DA" w:rsidP="004002DA">
            <w:pPr>
              <w:jc w:val="right"/>
              <w:rPr>
                <w:rFonts w:cs="Arial"/>
                <w:color w:val="000000" w:themeColor="text1"/>
                <w:sz w:val="20"/>
              </w:rPr>
            </w:pPr>
            <w:r w:rsidRPr="00F12C3C">
              <w:rPr>
                <w:rFonts w:cs="Arial"/>
                <w:color w:val="000000" w:themeColor="text1"/>
                <w:sz w:val="20"/>
              </w:rPr>
              <w:lastRenderedPageBreak/>
              <w:t>EUR 4,010,675.00</w:t>
            </w:r>
          </w:p>
        </w:tc>
        <w:tc>
          <w:tcPr>
            <w:tcW w:w="1680" w:type="dxa"/>
            <w:tcBorders>
              <w:top w:val="nil"/>
              <w:left w:val="nil"/>
              <w:bottom w:val="single" w:sz="4" w:space="0" w:color="auto"/>
              <w:right w:val="single" w:sz="4" w:space="0" w:color="auto"/>
            </w:tcBorders>
            <w:shd w:val="clear" w:color="auto" w:fill="auto"/>
            <w:vAlign w:val="center"/>
            <w:hideMark/>
          </w:tcPr>
          <w:p w14:paraId="5A58C130" w14:textId="77777777" w:rsidR="004002DA" w:rsidRPr="00F12C3C" w:rsidRDefault="004002DA" w:rsidP="004002DA">
            <w:pPr>
              <w:jc w:val="right"/>
              <w:rPr>
                <w:rFonts w:cs="Arial"/>
                <w:color w:val="000000"/>
                <w:sz w:val="20"/>
              </w:rPr>
            </w:pPr>
            <w:r w:rsidRPr="00F12C3C">
              <w:rPr>
                <w:rFonts w:cs="Arial"/>
                <w:color w:val="000000" w:themeColor="text1"/>
                <w:sz w:val="20"/>
              </w:rPr>
              <w:t>EUR 4,010,675.00</w:t>
            </w:r>
          </w:p>
        </w:tc>
        <w:tc>
          <w:tcPr>
            <w:tcW w:w="1470" w:type="dxa"/>
            <w:tcBorders>
              <w:top w:val="nil"/>
              <w:left w:val="nil"/>
              <w:bottom w:val="single" w:sz="4" w:space="0" w:color="auto"/>
              <w:right w:val="single" w:sz="4" w:space="0" w:color="auto"/>
            </w:tcBorders>
            <w:shd w:val="clear" w:color="auto" w:fill="auto"/>
            <w:vAlign w:val="center"/>
            <w:hideMark/>
          </w:tcPr>
          <w:p w14:paraId="19F82967" w14:textId="77777777" w:rsidR="004002DA" w:rsidRPr="00F12C3C" w:rsidRDefault="004002DA" w:rsidP="004002DA">
            <w:pPr>
              <w:jc w:val="right"/>
              <w:rPr>
                <w:rFonts w:cs="Arial"/>
                <w:color w:val="000000"/>
                <w:sz w:val="20"/>
              </w:rPr>
            </w:pPr>
            <w:r w:rsidRPr="00F12C3C">
              <w:rPr>
                <w:rFonts w:cs="Arial"/>
                <w:color w:val="000000" w:themeColor="text1"/>
                <w:sz w:val="20"/>
              </w:rPr>
              <w:t>EUR 0.00</w:t>
            </w:r>
          </w:p>
        </w:tc>
        <w:tc>
          <w:tcPr>
            <w:tcW w:w="1710" w:type="dxa"/>
            <w:tcBorders>
              <w:top w:val="nil"/>
              <w:left w:val="nil"/>
              <w:bottom w:val="single" w:sz="4" w:space="0" w:color="auto"/>
              <w:right w:val="single" w:sz="4" w:space="0" w:color="auto"/>
            </w:tcBorders>
            <w:shd w:val="clear" w:color="auto" w:fill="auto"/>
            <w:vAlign w:val="center"/>
            <w:hideMark/>
          </w:tcPr>
          <w:p w14:paraId="60591B86" w14:textId="77777777" w:rsidR="004002DA" w:rsidRPr="00F12C3C" w:rsidRDefault="004002DA" w:rsidP="004002DA">
            <w:pPr>
              <w:jc w:val="right"/>
              <w:rPr>
                <w:rFonts w:cs="Arial"/>
                <w:color w:val="000000" w:themeColor="text1"/>
                <w:sz w:val="20"/>
              </w:rPr>
            </w:pPr>
            <w:r w:rsidRPr="00F12C3C">
              <w:rPr>
                <w:rFonts w:cs="Arial"/>
                <w:color w:val="000000" w:themeColor="text1"/>
                <w:sz w:val="20"/>
              </w:rPr>
              <w:t>EUR 0.00</w:t>
            </w:r>
          </w:p>
        </w:tc>
      </w:tr>
      <w:tr w:rsidR="004002DA" w:rsidRPr="00F12C3C" w14:paraId="32D11873" w14:textId="77777777" w:rsidTr="004002DA">
        <w:trPr>
          <w:trHeight w:val="313"/>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F7B3007" w14:textId="77777777" w:rsidR="004002DA" w:rsidRPr="00F12C3C" w:rsidRDefault="004002DA" w:rsidP="004002DA">
            <w:pPr>
              <w:spacing w:before="120" w:after="120"/>
              <w:rPr>
                <w:rFonts w:cs="Arial"/>
                <w:sz w:val="20"/>
                <w:lang w:val="en-US"/>
              </w:rPr>
            </w:pPr>
            <w:r w:rsidRPr="00F12C3C">
              <w:rPr>
                <w:rFonts w:cs="Arial"/>
                <w:sz w:val="20"/>
                <w:lang w:val="en-US"/>
              </w:rPr>
              <w:t>Outcome 2: Resilience enhanced in marginalized areas for socio-economic recovery through rehabilitation and expansion of infrastructure and complementary measures</w:t>
            </w:r>
          </w:p>
        </w:tc>
        <w:tc>
          <w:tcPr>
            <w:tcW w:w="1890" w:type="dxa"/>
            <w:tcBorders>
              <w:top w:val="nil"/>
              <w:left w:val="nil"/>
              <w:bottom w:val="single" w:sz="4" w:space="0" w:color="auto"/>
              <w:right w:val="single" w:sz="4" w:space="0" w:color="auto"/>
            </w:tcBorders>
            <w:shd w:val="clear" w:color="auto" w:fill="auto"/>
            <w:vAlign w:val="center"/>
            <w:hideMark/>
          </w:tcPr>
          <w:p w14:paraId="63EE6032" w14:textId="77777777" w:rsidR="004002DA" w:rsidRPr="00F12C3C" w:rsidRDefault="004002DA" w:rsidP="004002DA">
            <w:pPr>
              <w:jc w:val="right"/>
              <w:rPr>
                <w:rFonts w:cs="Arial"/>
                <w:color w:val="000000" w:themeColor="text1"/>
                <w:sz w:val="20"/>
              </w:rPr>
            </w:pPr>
            <w:r w:rsidRPr="00F12C3C">
              <w:rPr>
                <w:rFonts w:cs="Arial"/>
                <w:color w:val="000000" w:themeColor="text1"/>
                <w:sz w:val="20"/>
              </w:rPr>
              <w:t>EUR 3,389,836.00</w:t>
            </w:r>
          </w:p>
        </w:tc>
        <w:tc>
          <w:tcPr>
            <w:tcW w:w="1680" w:type="dxa"/>
            <w:tcBorders>
              <w:top w:val="nil"/>
              <w:left w:val="nil"/>
              <w:bottom w:val="single" w:sz="4" w:space="0" w:color="auto"/>
              <w:right w:val="single" w:sz="4" w:space="0" w:color="auto"/>
            </w:tcBorders>
            <w:shd w:val="clear" w:color="auto" w:fill="auto"/>
            <w:vAlign w:val="center"/>
            <w:hideMark/>
          </w:tcPr>
          <w:p w14:paraId="4AED4E7B" w14:textId="77777777" w:rsidR="004002DA" w:rsidRPr="00F12C3C" w:rsidRDefault="004002DA" w:rsidP="004002DA">
            <w:pPr>
              <w:jc w:val="right"/>
              <w:rPr>
                <w:rFonts w:cs="Arial"/>
                <w:color w:val="000000" w:themeColor="text1"/>
                <w:sz w:val="20"/>
              </w:rPr>
            </w:pPr>
            <w:r w:rsidRPr="00F12C3C">
              <w:rPr>
                <w:rFonts w:cs="Arial"/>
                <w:color w:val="000000" w:themeColor="text1"/>
                <w:sz w:val="20"/>
              </w:rPr>
              <w:t>EUR 3,389,836.00</w:t>
            </w:r>
          </w:p>
        </w:tc>
        <w:tc>
          <w:tcPr>
            <w:tcW w:w="1470" w:type="dxa"/>
            <w:tcBorders>
              <w:top w:val="nil"/>
              <w:left w:val="nil"/>
              <w:bottom w:val="single" w:sz="4" w:space="0" w:color="auto"/>
              <w:right w:val="single" w:sz="4" w:space="0" w:color="auto"/>
            </w:tcBorders>
            <w:shd w:val="clear" w:color="auto" w:fill="auto"/>
            <w:vAlign w:val="center"/>
            <w:hideMark/>
          </w:tcPr>
          <w:p w14:paraId="0CE8A93E" w14:textId="77777777" w:rsidR="004002DA" w:rsidRPr="00F12C3C" w:rsidRDefault="004002DA" w:rsidP="004002DA">
            <w:pPr>
              <w:jc w:val="right"/>
              <w:rPr>
                <w:rFonts w:cs="Arial"/>
                <w:color w:val="000000" w:themeColor="text1"/>
                <w:sz w:val="20"/>
              </w:rPr>
            </w:pPr>
            <w:r w:rsidRPr="00F12C3C">
              <w:rPr>
                <w:rFonts w:cs="Arial"/>
                <w:color w:val="000000" w:themeColor="text1"/>
                <w:sz w:val="20"/>
              </w:rPr>
              <w:t>EUR 0.00</w:t>
            </w:r>
          </w:p>
        </w:tc>
        <w:tc>
          <w:tcPr>
            <w:tcW w:w="1710" w:type="dxa"/>
            <w:tcBorders>
              <w:top w:val="nil"/>
              <w:left w:val="nil"/>
              <w:bottom w:val="single" w:sz="4" w:space="0" w:color="auto"/>
              <w:right w:val="single" w:sz="4" w:space="0" w:color="auto"/>
            </w:tcBorders>
            <w:shd w:val="clear" w:color="auto" w:fill="auto"/>
            <w:vAlign w:val="center"/>
            <w:hideMark/>
          </w:tcPr>
          <w:p w14:paraId="54B159DB" w14:textId="77777777" w:rsidR="004002DA" w:rsidRPr="00F12C3C" w:rsidRDefault="004002DA" w:rsidP="004002DA">
            <w:pPr>
              <w:jc w:val="right"/>
              <w:rPr>
                <w:rFonts w:cs="Arial"/>
                <w:color w:val="000000" w:themeColor="text1"/>
                <w:sz w:val="20"/>
              </w:rPr>
            </w:pPr>
            <w:r w:rsidRPr="00F12C3C">
              <w:rPr>
                <w:rFonts w:cs="Arial"/>
                <w:color w:val="000000" w:themeColor="text1"/>
                <w:sz w:val="20"/>
              </w:rPr>
              <w:t>EUR 0.00</w:t>
            </w:r>
          </w:p>
        </w:tc>
      </w:tr>
    </w:tbl>
    <w:p w14:paraId="1AA3D137" w14:textId="77777777" w:rsidR="004002DA" w:rsidRPr="00F12C3C" w:rsidRDefault="004002DA" w:rsidP="004002DA">
      <w:pPr>
        <w:spacing w:after="120" w:line="300" w:lineRule="exact"/>
        <w:contextualSpacing/>
        <w:rPr>
          <w:rFonts w:cs="Arial"/>
          <w:sz w:val="20"/>
        </w:rPr>
      </w:pPr>
    </w:p>
    <w:p w14:paraId="199DF1DE" w14:textId="77777777" w:rsidR="004002DA" w:rsidRPr="00F12C3C" w:rsidRDefault="004002DA" w:rsidP="004002DA">
      <w:pPr>
        <w:rPr>
          <w:rFonts w:cs="Arial"/>
          <w:sz w:val="20"/>
          <w:lang w:val="en-US"/>
        </w:rPr>
      </w:pPr>
      <w:r w:rsidRPr="00F12C3C">
        <w:rPr>
          <w:rFonts w:cs="Arial"/>
          <w:sz w:val="20"/>
          <w:lang w:val="en-US"/>
        </w:rPr>
        <w:t xml:space="preserve">49.  UNDP comparative advantage in the Palestinian Territory rests in its development approach for empowering the Palestinian people and their institutions to achieve a resilient Palestinian nation based on ownership and capacity development towards sustainability. With a long-standing presence in the occupied Palestinian territory (oPt), UNDP has acquired a deep understanding of the local context. As a trusted partner, UNDP enjoys a close partnership with Palestinian institutions, civil society, communities, the UN Country Team, and international development partners. Moreover, UNDP/PAPP derives its mandate from the United Nations General Assembly Resolution 33/147 of 20 December 1978. </w:t>
      </w:r>
    </w:p>
    <w:p w14:paraId="5B547EAE" w14:textId="77777777" w:rsidR="004002DA" w:rsidRPr="00F12C3C" w:rsidRDefault="004002DA" w:rsidP="004002DA">
      <w:pPr>
        <w:rPr>
          <w:rFonts w:cs="Arial"/>
          <w:sz w:val="20"/>
          <w:lang w:val="en-US"/>
        </w:rPr>
      </w:pPr>
    </w:p>
    <w:p w14:paraId="538CB96B" w14:textId="77777777" w:rsidR="004002DA" w:rsidRPr="00F12C3C" w:rsidRDefault="004002DA" w:rsidP="004002DA">
      <w:pPr>
        <w:rPr>
          <w:rFonts w:cs="Arial"/>
          <w:sz w:val="20"/>
          <w:lang w:val="en-US"/>
        </w:rPr>
      </w:pPr>
      <w:r w:rsidRPr="00F12C3C">
        <w:rPr>
          <w:rFonts w:cs="Arial"/>
          <w:sz w:val="20"/>
          <w:lang w:val="en-US"/>
        </w:rPr>
        <w:t xml:space="preserve">50.  UNDP has a strong implementation capacity in the Palestinian Territory and has established and effective mechanisms as well as local networks and capacities. Moreover, UNDP has a long-lasting record in implementing national needs during crisis and recovery interventions, and solid capacity on the ground for community resilience and infrastructure, represented currently by flagship programmes, notably the Employment Generation Programme funded by the Government of Germany through </w:t>
      </w:r>
      <w:proofErr w:type="spellStart"/>
      <w:r w:rsidRPr="00F12C3C">
        <w:rPr>
          <w:rFonts w:cs="Arial"/>
          <w:sz w:val="20"/>
          <w:lang w:val="en-US"/>
        </w:rPr>
        <w:t>KfW</w:t>
      </w:r>
      <w:proofErr w:type="spellEnd"/>
      <w:r w:rsidRPr="00F12C3C">
        <w:rPr>
          <w:rFonts w:cs="Arial"/>
          <w:sz w:val="20"/>
          <w:lang w:val="en-US"/>
        </w:rPr>
        <w:t xml:space="preserve"> and CRDP Programme, which is in the completion phase with the support of Sweden, Norway, Finland and Austria.</w:t>
      </w:r>
    </w:p>
    <w:p w14:paraId="58B22067" w14:textId="77777777" w:rsidR="004002DA" w:rsidRPr="00F12C3C" w:rsidRDefault="004002DA" w:rsidP="004002DA">
      <w:pPr>
        <w:spacing w:before="240"/>
        <w:rPr>
          <w:rFonts w:cs="Arial"/>
          <w:b/>
          <w:bCs/>
          <w:sz w:val="20"/>
          <w:lang w:val="en-US"/>
        </w:rPr>
      </w:pPr>
      <w:r w:rsidRPr="00F12C3C">
        <w:rPr>
          <w:rFonts w:cs="Arial"/>
          <w:b/>
          <w:bCs/>
          <w:sz w:val="20"/>
          <w:lang w:val="en-US"/>
        </w:rPr>
        <w:t>Partnerships:</w:t>
      </w:r>
    </w:p>
    <w:p w14:paraId="4491E3CA" w14:textId="77777777" w:rsidR="004002DA" w:rsidRPr="00F12C3C" w:rsidRDefault="004002DA" w:rsidP="004002DA">
      <w:pPr>
        <w:spacing w:before="240"/>
        <w:rPr>
          <w:rFonts w:eastAsia="Arial" w:cs="Arial"/>
          <w:sz w:val="20"/>
          <w:lang w:val="en-US"/>
        </w:rPr>
      </w:pPr>
      <w:r w:rsidRPr="00F12C3C">
        <w:rPr>
          <w:rFonts w:eastAsia="Arial" w:cs="Arial"/>
          <w:sz w:val="20"/>
          <w:lang w:val="en-US"/>
        </w:rPr>
        <w:t xml:space="preserve">51. For the immediate response to COVID-19 under Outcome 1, focused on strengthening the health system, the IPR will effectively contribute to the needs identified in the Palestinian Territory and UN response plans. The latter has been developed under the leadership of the UN Resident Coordinator (RC/HC) and WHO, in consultation with other UN agencies as well cluster partners to support the MoH on the whole of Government response. For example, UNDP has joined WHO on field assessments to the COVID-19-designated European hospital in Gaza to identify the needs for the safe disposal of large amounts of hazardous medical waste that will be generated in case of a COVID-19 outbreak in Gaza. WHO requested support from UNDP, who is a </w:t>
      </w:r>
      <w:proofErr w:type="spellStart"/>
      <w:r w:rsidRPr="00F12C3C">
        <w:rPr>
          <w:rFonts w:eastAsia="Arial" w:cs="Arial"/>
          <w:sz w:val="20"/>
          <w:lang w:val="en-US"/>
        </w:rPr>
        <w:t>recognised</w:t>
      </w:r>
      <w:proofErr w:type="spellEnd"/>
      <w:r w:rsidRPr="00F12C3C">
        <w:rPr>
          <w:rFonts w:eastAsia="Arial" w:cs="Arial"/>
          <w:sz w:val="20"/>
          <w:lang w:val="en-US"/>
        </w:rPr>
        <w:t xml:space="preserve"> leader in this area, both in Gaza and the West Bank.</w:t>
      </w:r>
    </w:p>
    <w:p w14:paraId="2BDC8417" w14:textId="77777777" w:rsidR="004002DA" w:rsidRPr="00F12C3C" w:rsidRDefault="004002DA" w:rsidP="004002DA">
      <w:pPr>
        <w:spacing w:before="240"/>
        <w:rPr>
          <w:rFonts w:eastAsia="Arial" w:cs="Arial"/>
          <w:sz w:val="20"/>
          <w:lang w:val="en-US"/>
        </w:rPr>
      </w:pPr>
      <w:r w:rsidRPr="00F12C3C">
        <w:rPr>
          <w:rFonts w:eastAsia="Arial" w:cs="Arial"/>
          <w:sz w:val="20"/>
          <w:lang w:val="en-US"/>
        </w:rPr>
        <w:lastRenderedPageBreak/>
        <w:t xml:space="preserve">52. Moreover, all the interventions proposed under Outcome 1 have been discussed with WHO, who is the technical lead, as well as the inter-agency cluster coordination mechanism.  Regular meetings particularly with the Health and WASH clusters, as well as the inter-cluster level meetings (which on occasion also include donors) allow UNDP to ensure that funding from </w:t>
      </w:r>
      <w:proofErr w:type="spellStart"/>
      <w:r w:rsidRPr="00F12C3C">
        <w:rPr>
          <w:rFonts w:eastAsia="Arial" w:cs="Arial"/>
          <w:sz w:val="20"/>
          <w:lang w:val="en-US"/>
        </w:rPr>
        <w:t>KfW</w:t>
      </w:r>
      <w:proofErr w:type="spellEnd"/>
      <w:r w:rsidRPr="00F12C3C">
        <w:rPr>
          <w:rFonts w:eastAsia="Arial" w:cs="Arial"/>
          <w:sz w:val="20"/>
          <w:lang w:val="en-US"/>
        </w:rPr>
        <w:t xml:space="preserve"> is </w:t>
      </w:r>
      <w:proofErr w:type="spellStart"/>
      <w:r w:rsidRPr="00F12C3C">
        <w:rPr>
          <w:rFonts w:eastAsia="Arial" w:cs="Arial"/>
          <w:sz w:val="20"/>
          <w:lang w:val="en-US"/>
        </w:rPr>
        <w:t>channelled</w:t>
      </w:r>
      <w:proofErr w:type="spellEnd"/>
      <w:r w:rsidRPr="00F12C3C">
        <w:rPr>
          <w:rFonts w:eastAsia="Arial" w:cs="Arial"/>
          <w:sz w:val="20"/>
          <w:lang w:val="en-US"/>
        </w:rPr>
        <w:t xml:space="preserve"> to the areas where gaps exist at the time - whether it be medical equipment provision, health workers placement, or medical waste management.  All printed information about COVID 19 developed for public awareness and training is being reviewed by WHO before distribution to ensure the right information is being conveyed to the public and to the workers who are carrying out their duties in the health and medical waste treatment sectors (also from a workplace safety perspective). </w:t>
      </w:r>
    </w:p>
    <w:p w14:paraId="45C439AD" w14:textId="77777777" w:rsidR="004002DA" w:rsidRPr="00F12C3C" w:rsidRDefault="004002DA" w:rsidP="004002DA">
      <w:pPr>
        <w:spacing w:before="240"/>
        <w:rPr>
          <w:rFonts w:eastAsia="Arial" w:cs="Arial"/>
          <w:sz w:val="20"/>
          <w:lang w:val="en-US"/>
        </w:rPr>
      </w:pPr>
      <w:r w:rsidRPr="00F12C3C">
        <w:rPr>
          <w:rFonts w:eastAsia="Arial" w:cs="Arial"/>
          <w:sz w:val="20"/>
          <w:lang w:val="en-US"/>
        </w:rPr>
        <w:t xml:space="preserve">53. Under this outcome, UNDP also works in partnership with the </w:t>
      </w:r>
      <w:proofErr w:type="spellStart"/>
      <w:r w:rsidRPr="00F12C3C">
        <w:rPr>
          <w:rFonts w:eastAsia="Arial" w:cs="Arial"/>
          <w:sz w:val="20"/>
          <w:lang w:val="en-US"/>
        </w:rPr>
        <w:t>GoP</w:t>
      </w:r>
      <w:proofErr w:type="spellEnd"/>
      <w:r w:rsidRPr="00F12C3C">
        <w:rPr>
          <w:rFonts w:eastAsia="Arial" w:cs="Arial"/>
          <w:sz w:val="20"/>
          <w:lang w:val="en-US"/>
        </w:rPr>
        <w:t xml:space="preserve"> and line ministries, especially MoH (and MoH-managed hospitals), Ministry of </w:t>
      </w:r>
      <w:proofErr w:type="spellStart"/>
      <w:r w:rsidRPr="00F12C3C">
        <w:rPr>
          <w:rFonts w:eastAsia="Arial" w:cs="Arial"/>
          <w:sz w:val="20"/>
          <w:lang w:val="en-US"/>
        </w:rPr>
        <w:t>Labour</w:t>
      </w:r>
      <w:proofErr w:type="spellEnd"/>
      <w:r w:rsidRPr="00F12C3C">
        <w:rPr>
          <w:rFonts w:eastAsia="Arial" w:cs="Arial"/>
          <w:sz w:val="20"/>
          <w:lang w:val="en-US"/>
        </w:rPr>
        <w:t xml:space="preserve"> (MoL), Environment Quality Authority (EQA) for detailing the needs and advancing the implementation of activities. Lists of health workers, medical equipment, or hospitals / PHCs shared by the MoH will be vetted with WHO leading the health cluster, for verification and </w:t>
      </w:r>
      <w:proofErr w:type="spellStart"/>
      <w:r w:rsidRPr="00F12C3C">
        <w:rPr>
          <w:rFonts w:eastAsia="Arial" w:cs="Arial"/>
          <w:sz w:val="20"/>
          <w:lang w:val="en-US"/>
        </w:rPr>
        <w:t>prioritisation</w:t>
      </w:r>
      <w:proofErr w:type="spellEnd"/>
      <w:r w:rsidRPr="00F12C3C">
        <w:rPr>
          <w:rFonts w:eastAsia="Arial" w:cs="Arial"/>
          <w:sz w:val="20"/>
          <w:lang w:val="en-US"/>
        </w:rPr>
        <w:t xml:space="preserve">. </w:t>
      </w:r>
    </w:p>
    <w:p w14:paraId="13E57B17" w14:textId="77777777" w:rsidR="004002DA" w:rsidRPr="00F12C3C" w:rsidRDefault="004002DA" w:rsidP="00F12C3C">
      <w:pPr>
        <w:spacing w:before="240" w:line="360" w:lineRule="auto"/>
        <w:rPr>
          <w:rFonts w:eastAsia="Arial" w:cs="Arial"/>
          <w:sz w:val="20"/>
          <w:lang w:val="en-US"/>
        </w:rPr>
      </w:pPr>
      <w:r w:rsidRPr="00F12C3C">
        <w:rPr>
          <w:rFonts w:cs="Arial"/>
          <w:sz w:val="20"/>
          <w:lang w:val="en-US"/>
        </w:rPr>
        <w:t xml:space="preserve">54.  Under Outcome 2 focused on community resilience, UNDP will build on existing partnerships, as well as forge new relationships to advance transformative resilience. UNDP is currently engaged in supporting the Prime Minister’s Office (PMO) in establishing a Socio-Economic Response and Recovery Unit which would be tasked to set programmatic and policy priorities. The different ministries will be engaged directly through engagement in implementation or indirectly through coordination mechanisms, with emphasis on national commitment of sustainability and operations to ensure that investments have the intended longer-term impact. Civil society, NGO’s and community-based </w:t>
      </w:r>
      <w:proofErr w:type="spellStart"/>
      <w:r w:rsidRPr="00F12C3C">
        <w:rPr>
          <w:rFonts w:cs="Arial"/>
          <w:sz w:val="20"/>
          <w:lang w:val="en-US"/>
        </w:rPr>
        <w:t>organisations</w:t>
      </w:r>
      <w:proofErr w:type="spellEnd"/>
      <w:r w:rsidRPr="00F12C3C">
        <w:rPr>
          <w:rFonts w:cs="Arial"/>
          <w:sz w:val="20"/>
          <w:lang w:val="en-US"/>
        </w:rPr>
        <w:t xml:space="preserve"> in the West Bank, East Jerusalem and Gaza will be engaged in supporting the implementation through the Call for Proposals mechanisms where UNDP will make sure through coordination with MDLF that the donor efforts are not targeting the same population ( ref. suggested selection criteria- annex 3).  Within the national coordination platforms and participatory identification of needs approach, partnerships with private sector, academic and research institutions will be explored. </w:t>
      </w:r>
      <w:r w:rsidRPr="00F12C3C">
        <w:rPr>
          <w:rFonts w:eastAsia="Arial" w:cs="Arial"/>
          <w:sz w:val="20"/>
          <w:lang w:val="en-US"/>
        </w:rPr>
        <w:t xml:space="preserve">UN agencies, MDLF, investment banks (e.g. </w:t>
      </w:r>
      <w:r w:rsidRPr="00F12C3C">
        <w:rPr>
          <w:rFonts w:cs="Arial"/>
          <w:sz w:val="20"/>
          <w:lang w:val="en-US"/>
        </w:rPr>
        <w:t>Islamic and Arab Funds)</w:t>
      </w:r>
      <w:r w:rsidRPr="00F12C3C">
        <w:rPr>
          <w:rFonts w:eastAsia="Arial" w:cs="Arial"/>
          <w:sz w:val="20"/>
          <w:lang w:val="en-US"/>
        </w:rPr>
        <w:t xml:space="preserve">, donors (e.g. Japan, Norway, SDC, EU, WB) and other </w:t>
      </w:r>
      <w:r w:rsidRPr="00F12C3C">
        <w:rPr>
          <w:rFonts w:cs="Arial"/>
          <w:sz w:val="20"/>
          <w:lang w:val="en-US"/>
        </w:rPr>
        <w:t xml:space="preserve">international non-governmental </w:t>
      </w:r>
      <w:proofErr w:type="spellStart"/>
      <w:r w:rsidRPr="00F12C3C">
        <w:rPr>
          <w:rFonts w:cs="Arial"/>
          <w:sz w:val="20"/>
          <w:lang w:val="en-US"/>
        </w:rPr>
        <w:t>organisations</w:t>
      </w:r>
      <w:proofErr w:type="spellEnd"/>
      <w:r w:rsidRPr="00F12C3C">
        <w:rPr>
          <w:rFonts w:cs="Arial"/>
          <w:sz w:val="20"/>
          <w:lang w:val="en-US"/>
        </w:rPr>
        <w:t xml:space="preserve"> will also be engaged at the level of information sharing and exchanges on the ground, to maximize synergies and harmonize the response. UNDP will ensure</w:t>
      </w:r>
      <w:r w:rsidRPr="00F12C3C">
        <w:rPr>
          <w:rFonts w:eastAsia="Arial" w:cs="Arial"/>
          <w:sz w:val="20"/>
          <w:lang w:val="en-US"/>
        </w:rPr>
        <w:t xml:space="preserve"> synergies with other BMZ financed projects in oPt including GIZ and PTB. </w:t>
      </w:r>
      <w:bookmarkStart w:id="17" w:name="_Toc18601806"/>
    </w:p>
    <w:p w14:paraId="65AFE1A4" w14:textId="77777777" w:rsidR="004002DA" w:rsidRPr="00F12C3C" w:rsidRDefault="004002DA" w:rsidP="00F12C3C">
      <w:pPr>
        <w:spacing w:line="360" w:lineRule="auto"/>
        <w:rPr>
          <w:rFonts w:eastAsiaTheme="minorEastAsia" w:cs="Arial"/>
          <w:noProof/>
          <w:sz w:val="20"/>
          <w:lang w:val="en-US"/>
        </w:rPr>
      </w:pPr>
      <w:r w:rsidRPr="00F12C3C">
        <w:rPr>
          <w:rFonts w:eastAsiaTheme="minorEastAsia" w:cs="Arial"/>
          <w:noProof/>
          <w:sz w:val="20"/>
          <w:lang w:val="en-US"/>
        </w:rPr>
        <w:t xml:space="preserve">Once a partner/beneficiary is identified they are screened against the UN General Assembly sanction list. In its partnership with the local banks (Al Quds Bank, Bank of Palestine, Leumi) UNDP has an additional review as beneficiaries of cash transfers are reviewed against other sanction lists including the EU sanction list.  Any beneficiaries found on the list will be reported to UNDP and the transfer is rejected by the banks. This provides UNDP an additional oversight over those individuals or institutions that may not be listed on the UN sanctions list. </w:t>
      </w:r>
    </w:p>
    <w:p w14:paraId="27704AF0" w14:textId="77777777" w:rsidR="004002DA" w:rsidRPr="00F12C3C" w:rsidRDefault="004002DA" w:rsidP="004002DA">
      <w:pPr>
        <w:spacing w:before="240"/>
        <w:rPr>
          <w:rFonts w:cs="Arial"/>
          <w:b/>
          <w:bCs/>
          <w:sz w:val="20"/>
          <w:highlight w:val="yellow"/>
          <w:lang w:val="en-US"/>
        </w:rPr>
      </w:pPr>
      <w:r w:rsidRPr="00F12C3C">
        <w:rPr>
          <w:rFonts w:cs="Arial"/>
          <w:b/>
          <w:bCs/>
          <w:sz w:val="20"/>
          <w:lang w:val="en-US"/>
        </w:rPr>
        <w:t>Consideration of conflict sensitivity, social/environmental safeguards</w:t>
      </w:r>
      <w:bookmarkEnd w:id="17"/>
      <w:r w:rsidRPr="00F12C3C">
        <w:rPr>
          <w:rFonts w:cs="Arial"/>
          <w:b/>
          <w:bCs/>
          <w:sz w:val="20"/>
          <w:lang w:val="en-US"/>
        </w:rPr>
        <w:t>:</w:t>
      </w:r>
      <w:r w:rsidRPr="00F12C3C">
        <w:rPr>
          <w:rFonts w:cs="Arial"/>
          <w:b/>
          <w:bCs/>
          <w:sz w:val="20"/>
          <w:highlight w:val="yellow"/>
          <w:lang w:val="en-US"/>
        </w:rPr>
        <w:t xml:space="preserve"> </w:t>
      </w:r>
    </w:p>
    <w:p w14:paraId="19F7A46B" w14:textId="77777777" w:rsidR="004002DA" w:rsidRPr="00F12C3C" w:rsidRDefault="004002DA" w:rsidP="004002DA">
      <w:pPr>
        <w:spacing w:before="240"/>
        <w:rPr>
          <w:rFonts w:eastAsia="Arial" w:cs="Arial"/>
          <w:sz w:val="20"/>
          <w:lang w:val="en-US"/>
        </w:rPr>
      </w:pPr>
      <w:r w:rsidRPr="00F12C3C">
        <w:rPr>
          <w:rFonts w:eastAsia="Arial" w:cs="Arial"/>
          <w:sz w:val="20"/>
          <w:lang w:val="en-US"/>
        </w:rPr>
        <w:lastRenderedPageBreak/>
        <w:t>55. Building on the do no harm approach and conflict sensitivity adopted by UNDP throughout the programme/project cycle, and in the likely scenario of a protracted, complex and volatile crisis, IPR must be flexible, responsive and risk-based in addressing community resilience needs under the complex geo-political landscape and potential implications of COVID-19. An agile management response will ensure a coherent and speedy delivery, strong quality assurance and oversight arrangements. (Please see attached Annex 4 – FCV matrix).</w:t>
      </w:r>
    </w:p>
    <w:p w14:paraId="4C6B5E6F" w14:textId="77777777" w:rsidR="004002DA" w:rsidRPr="00F12C3C" w:rsidRDefault="004002DA" w:rsidP="004002DA">
      <w:pPr>
        <w:spacing w:before="240"/>
        <w:rPr>
          <w:rFonts w:eastAsia="Arial" w:cs="Arial"/>
          <w:sz w:val="20"/>
          <w:lang w:val="en-US"/>
        </w:rPr>
      </w:pPr>
      <w:r w:rsidRPr="00F12C3C">
        <w:rPr>
          <w:rFonts w:eastAsia="Arial" w:cs="Arial"/>
          <w:sz w:val="20"/>
          <w:lang w:val="en-US"/>
        </w:rPr>
        <w:t xml:space="preserve">56.  Call for proposals will ensure conflict sensitivity considerations are streamlined, in addition to, safeguarding social and environmental dimensions in line with UNDP rules and regulations. Technical assistance will be provided to stakeholders in the mobilization phase of IPR and during the implementation of its interventions.  </w:t>
      </w:r>
    </w:p>
    <w:p w14:paraId="4E129FB1" w14:textId="77777777" w:rsidR="004002DA" w:rsidRPr="00F12C3C" w:rsidRDefault="004002DA" w:rsidP="004002DA">
      <w:pPr>
        <w:rPr>
          <w:rFonts w:cs="Arial"/>
          <w:sz w:val="20"/>
          <w:lang w:val="en-US"/>
        </w:rPr>
      </w:pPr>
      <w:r w:rsidRPr="00F12C3C">
        <w:rPr>
          <w:rFonts w:eastAsia="Arial" w:cs="Arial"/>
          <w:sz w:val="20"/>
          <w:lang w:val="en-US"/>
        </w:rPr>
        <w:t xml:space="preserve">57. In relation to </w:t>
      </w:r>
      <w:r w:rsidRPr="00F12C3C">
        <w:rPr>
          <w:rFonts w:cs="Arial"/>
          <w:sz w:val="20"/>
          <w:lang w:val="en-US"/>
        </w:rPr>
        <w:t xml:space="preserve">the development and implementation of an Environmental and Social Management Framework (ESMF), UNDP shall develop and implement a grievance mechanism satisfactory to </w:t>
      </w:r>
      <w:proofErr w:type="spellStart"/>
      <w:r w:rsidRPr="00F12C3C">
        <w:rPr>
          <w:rFonts w:cs="Arial"/>
          <w:sz w:val="20"/>
          <w:lang w:val="en-US"/>
        </w:rPr>
        <w:t>KfW</w:t>
      </w:r>
      <w:proofErr w:type="spellEnd"/>
      <w:r w:rsidRPr="00F12C3C">
        <w:rPr>
          <w:rFonts w:cs="Arial"/>
          <w:sz w:val="20"/>
          <w:lang w:val="en-US"/>
        </w:rPr>
        <w:t xml:space="preserve">, which is accessible to the general public and in particular to people affected by the individual projects, and to the workforce engaged in Programme implementation. Moreover, the Programme-Executing Agency shall assist the Implementing Institutions in preparing an operation and maintenance concept including an operational environmental and social management plan and a respective budget forecast for each individual project. The operational environmental and social management plan shall encompass an occupational health and safety and </w:t>
      </w:r>
      <w:proofErr w:type="spellStart"/>
      <w:r w:rsidRPr="00F12C3C">
        <w:rPr>
          <w:rFonts w:cs="Arial"/>
          <w:sz w:val="20"/>
          <w:lang w:val="en-US"/>
        </w:rPr>
        <w:t>labour</w:t>
      </w:r>
      <w:proofErr w:type="spellEnd"/>
      <w:r w:rsidRPr="00F12C3C">
        <w:rPr>
          <w:rFonts w:cs="Arial"/>
          <w:sz w:val="20"/>
          <w:lang w:val="en-US"/>
        </w:rPr>
        <w:t xml:space="preserve"> conditions management plan. A preliminary operation and maintenance concept will be reviewed by the Programme-Executing Agency before signing of the implementation agreement with the respective Implementing Institution. The final operation and maintenance concept shall be approved by the Programme-Executing Agency at least one month before commissioning of the individual project</w:t>
      </w:r>
    </w:p>
    <w:p w14:paraId="3B851B33" w14:textId="77777777" w:rsidR="004002DA" w:rsidRPr="00F12C3C" w:rsidRDefault="004002DA" w:rsidP="004002DA">
      <w:pPr>
        <w:spacing w:before="240"/>
        <w:rPr>
          <w:rFonts w:cs="Arial"/>
          <w:b/>
          <w:iCs/>
          <w:sz w:val="20"/>
          <w:lang w:val="en-US"/>
        </w:rPr>
      </w:pPr>
      <w:r w:rsidRPr="00F12C3C">
        <w:rPr>
          <w:rFonts w:cs="Arial"/>
          <w:b/>
          <w:iCs/>
          <w:sz w:val="20"/>
          <w:lang w:val="en-US"/>
        </w:rPr>
        <w:t>Risks and Assumptions:</w:t>
      </w:r>
    </w:p>
    <w:p w14:paraId="7C713B75" w14:textId="77777777" w:rsidR="004002DA" w:rsidRPr="00F12C3C" w:rsidRDefault="004002DA" w:rsidP="004002DA">
      <w:pPr>
        <w:spacing w:before="120" w:after="120"/>
        <w:contextualSpacing/>
        <w:rPr>
          <w:rFonts w:cs="Arial"/>
          <w:sz w:val="20"/>
          <w:lang w:val="en-US"/>
        </w:rPr>
      </w:pPr>
      <w:r w:rsidRPr="00F12C3C">
        <w:rPr>
          <w:rFonts w:cs="Arial"/>
          <w:sz w:val="20"/>
          <w:lang w:val="en-US"/>
        </w:rPr>
        <w:t xml:space="preserve">58. The programme is an expansion and developed intervention to a long and successful ongoing support from the Government of Germany through </w:t>
      </w:r>
      <w:proofErr w:type="spellStart"/>
      <w:r w:rsidRPr="00F12C3C">
        <w:rPr>
          <w:rFonts w:cs="Arial"/>
          <w:sz w:val="20"/>
          <w:lang w:val="en-US"/>
        </w:rPr>
        <w:t>KfW</w:t>
      </w:r>
      <w:proofErr w:type="spellEnd"/>
      <w:r w:rsidRPr="00F12C3C">
        <w:rPr>
          <w:rFonts w:cs="Arial"/>
          <w:sz w:val="20"/>
          <w:lang w:val="en-US"/>
        </w:rPr>
        <w:t xml:space="preserve">. This intervention demonstrates two important considerations. First, that the basic approach of the Programme is indeed highly viable in this very challenging context, and the implementing partners, as well as the beneficiaries, are highly resilient and committed. Second that it is critical that all partners understand the volatility of the context and are prepared to consider modifications and adjust expectations if the operating environment should change during implementation. The three basic assumptions necessary for Programme implementation are as follows: </w:t>
      </w:r>
    </w:p>
    <w:p w14:paraId="1F02DFBB" w14:textId="77777777" w:rsidR="004002DA" w:rsidRPr="00F12C3C" w:rsidRDefault="004002DA" w:rsidP="002A6590">
      <w:pPr>
        <w:pStyle w:val="ListParagraph"/>
        <w:numPr>
          <w:ilvl w:val="0"/>
          <w:numId w:val="24"/>
        </w:numPr>
        <w:spacing w:before="120" w:after="120" w:line="240" w:lineRule="auto"/>
        <w:jc w:val="both"/>
        <w:rPr>
          <w:rFonts w:cs="Arial"/>
          <w:sz w:val="20"/>
          <w:lang w:val="en-US"/>
        </w:rPr>
      </w:pPr>
      <w:r w:rsidRPr="00F12C3C">
        <w:rPr>
          <w:rFonts w:cs="Arial"/>
          <w:sz w:val="20"/>
          <w:lang w:val="en-US"/>
        </w:rPr>
        <w:t>COVID-19 implications of lockdown, decreased level of implementation, potential of continued restrictions on movement of people and goods;</w:t>
      </w:r>
    </w:p>
    <w:p w14:paraId="4C4DD5E2" w14:textId="77777777" w:rsidR="004002DA" w:rsidRPr="00F12C3C" w:rsidRDefault="004002DA" w:rsidP="002A6590">
      <w:pPr>
        <w:pStyle w:val="ListParagraph"/>
        <w:numPr>
          <w:ilvl w:val="0"/>
          <w:numId w:val="24"/>
        </w:numPr>
        <w:spacing w:before="120" w:after="120" w:line="240" w:lineRule="auto"/>
        <w:jc w:val="both"/>
        <w:rPr>
          <w:rFonts w:cs="Arial"/>
          <w:sz w:val="20"/>
          <w:lang w:val="en-US"/>
        </w:rPr>
      </w:pPr>
      <w:r w:rsidRPr="00F12C3C">
        <w:rPr>
          <w:rFonts w:cs="Arial"/>
          <w:sz w:val="20"/>
          <w:lang w:val="en-US"/>
        </w:rPr>
        <w:t>Security environment is sufficiently stable for the different Non-Governmental Organizations (NGOs) to operate and;</w:t>
      </w:r>
    </w:p>
    <w:p w14:paraId="61132DD8" w14:textId="77777777" w:rsidR="004002DA" w:rsidRPr="00F12C3C" w:rsidRDefault="004002DA" w:rsidP="002A6590">
      <w:pPr>
        <w:pStyle w:val="ListParagraph"/>
        <w:numPr>
          <w:ilvl w:val="0"/>
          <w:numId w:val="24"/>
        </w:numPr>
        <w:spacing w:before="120" w:after="120" w:line="240" w:lineRule="auto"/>
        <w:jc w:val="both"/>
        <w:rPr>
          <w:rFonts w:cs="Arial"/>
          <w:sz w:val="20"/>
          <w:lang w:val="en-US"/>
        </w:rPr>
      </w:pPr>
      <w:r w:rsidRPr="00F12C3C">
        <w:rPr>
          <w:rFonts w:cs="Arial"/>
          <w:sz w:val="20"/>
          <w:lang w:val="en-US"/>
        </w:rPr>
        <w:t>Border crossings are open and available for materials access as well as for personnel traveling.</w:t>
      </w:r>
    </w:p>
    <w:p w14:paraId="37D2A324" w14:textId="77777777" w:rsidR="004002DA" w:rsidRPr="00F12C3C" w:rsidRDefault="004002DA" w:rsidP="004002DA">
      <w:pPr>
        <w:spacing w:before="120" w:after="120"/>
        <w:contextualSpacing/>
        <w:rPr>
          <w:rFonts w:cs="Arial"/>
          <w:sz w:val="20"/>
        </w:rPr>
      </w:pPr>
      <w:r w:rsidRPr="00F12C3C">
        <w:rPr>
          <w:rFonts w:cs="Arial"/>
          <w:sz w:val="20"/>
          <w:lang w:val="en-US"/>
        </w:rPr>
        <w:t xml:space="preserve">59.  The volatile political situation in Area C, East Jerusalem and the Gaza Strip is the major potential risk for the implementation of the programme. There are other factors with less significance to be considered </w:t>
      </w:r>
      <w:r w:rsidRPr="00F12C3C">
        <w:rPr>
          <w:rFonts w:cs="Arial"/>
          <w:sz w:val="20"/>
          <w:lang w:val="en-US"/>
        </w:rPr>
        <w:lastRenderedPageBreak/>
        <w:t xml:space="preserve">in this regard.  The entry of materials is currently from Israeli crossing only and needs access coordination through the current established UNDP mechanism and the capacity of borders for entry of materials for reconstruction activities. On the other hand, the capacity of the local contractors to carry out different contracts needs to be assessed. </w:t>
      </w:r>
      <w:r w:rsidRPr="00F12C3C">
        <w:rPr>
          <w:rFonts w:cs="Arial"/>
          <w:sz w:val="20"/>
        </w:rPr>
        <w:t>Below is the risk log:</w:t>
      </w:r>
    </w:p>
    <w:p w14:paraId="26C97698" w14:textId="77777777" w:rsidR="004002DA" w:rsidRPr="0041504B" w:rsidRDefault="004002DA" w:rsidP="004002DA">
      <w:pPr>
        <w:pStyle w:val="Caption"/>
        <w:keepNext/>
        <w:rPr>
          <w:rFonts w:asciiTheme="minorBidi" w:hAnsiTheme="minorBidi" w:cstheme="minorBidi"/>
        </w:rPr>
      </w:pPr>
      <w:bookmarkStart w:id="18" w:name="_Toc40980613"/>
      <w:r w:rsidRPr="0041504B">
        <w:rPr>
          <w:rFonts w:asciiTheme="minorBidi" w:hAnsiTheme="minorBidi" w:cstheme="minorBidi"/>
        </w:rPr>
        <w:t xml:space="preserve">Table </w:t>
      </w:r>
      <w:r w:rsidRPr="0041504B">
        <w:rPr>
          <w:rFonts w:asciiTheme="minorBidi" w:hAnsiTheme="minorBidi" w:cstheme="minorBidi"/>
          <w:color w:val="2B579A"/>
          <w:shd w:val="clear" w:color="auto" w:fill="E6E6E6"/>
        </w:rPr>
        <w:fldChar w:fldCharType="begin"/>
      </w:r>
      <w:r w:rsidRPr="0041504B">
        <w:rPr>
          <w:rFonts w:asciiTheme="minorBidi" w:hAnsiTheme="minorBidi" w:cstheme="minorBidi"/>
        </w:rPr>
        <w:instrText xml:space="preserve"> SEQ Table \* ARABIC </w:instrText>
      </w:r>
      <w:r w:rsidRPr="0041504B">
        <w:rPr>
          <w:rFonts w:asciiTheme="minorBidi" w:hAnsiTheme="minorBidi" w:cstheme="minorBidi"/>
          <w:color w:val="2B579A"/>
          <w:shd w:val="clear" w:color="auto" w:fill="E6E6E6"/>
        </w:rPr>
        <w:fldChar w:fldCharType="separate"/>
      </w:r>
      <w:r>
        <w:rPr>
          <w:rFonts w:asciiTheme="minorBidi" w:hAnsiTheme="minorBidi" w:cstheme="minorBidi"/>
          <w:noProof/>
        </w:rPr>
        <w:t>6</w:t>
      </w:r>
      <w:r w:rsidRPr="0041504B">
        <w:rPr>
          <w:rFonts w:asciiTheme="minorBidi" w:hAnsiTheme="minorBidi" w:cstheme="minorBidi"/>
          <w:color w:val="2B579A"/>
          <w:shd w:val="clear" w:color="auto" w:fill="E6E6E6"/>
        </w:rPr>
        <w:fldChar w:fldCharType="end"/>
      </w:r>
      <w:r w:rsidRPr="0041504B">
        <w:rPr>
          <w:rFonts w:asciiTheme="minorBidi" w:hAnsiTheme="minorBidi" w:cstheme="minorBidi"/>
        </w:rPr>
        <w:t>: Risks and mitigation strategy</w:t>
      </w:r>
      <w:bookmarkEnd w:id="18"/>
    </w:p>
    <w:tbl>
      <w:tblPr>
        <w:tblW w:w="964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19"/>
        <w:gridCol w:w="1486"/>
        <w:gridCol w:w="4500"/>
        <w:gridCol w:w="1742"/>
      </w:tblGrid>
      <w:tr w:rsidR="004002DA" w:rsidRPr="006F767C" w14:paraId="14CBED98" w14:textId="77777777" w:rsidTr="004002DA">
        <w:trPr>
          <w:trHeight w:hRule="exact" w:val="683"/>
        </w:trPr>
        <w:tc>
          <w:tcPr>
            <w:tcW w:w="1919" w:type="dxa"/>
            <w:shd w:val="clear" w:color="auto" w:fill="000080"/>
          </w:tcPr>
          <w:p w14:paraId="19D768E2" w14:textId="77777777" w:rsidR="004002DA" w:rsidRPr="0041504B" w:rsidRDefault="004002DA" w:rsidP="004002DA">
            <w:pPr>
              <w:rPr>
                <w:rFonts w:asciiTheme="minorBidi" w:hAnsiTheme="minorBidi" w:cstheme="minorBidi"/>
                <w:b/>
                <w:color w:val="FFFFFF"/>
                <w:sz w:val="18"/>
                <w:szCs w:val="18"/>
              </w:rPr>
            </w:pPr>
            <w:r w:rsidRPr="0041504B">
              <w:rPr>
                <w:rFonts w:asciiTheme="minorBidi" w:hAnsiTheme="minorBidi" w:cstheme="minorBidi"/>
                <w:b/>
                <w:color w:val="FFFFFF" w:themeColor="background1"/>
                <w:sz w:val="18"/>
                <w:szCs w:val="18"/>
              </w:rPr>
              <w:t>RISKS</w:t>
            </w:r>
          </w:p>
        </w:tc>
        <w:tc>
          <w:tcPr>
            <w:tcW w:w="1486" w:type="dxa"/>
            <w:shd w:val="clear" w:color="auto" w:fill="000080"/>
          </w:tcPr>
          <w:p w14:paraId="77DF5A66" w14:textId="77777777" w:rsidR="004002DA" w:rsidRPr="0041504B" w:rsidRDefault="004002DA" w:rsidP="004002DA">
            <w:pPr>
              <w:rPr>
                <w:rFonts w:asciiTheme="minorBidi" w:hAnsiTheme="minorBidi" w:cstheme="minorBidi"/>
                <w:b/>
                <w:color w:val="FFFFFF"/>
                <w:sz w:val="18"/>
                <w:szCs w:val="18"/>
              </w:rPr>
            </w:pPr>
            <w:r w:rsidRPr="0041504B">
              <w:rPr>
                <w:rFonts w:asciiTheme="minorBidi" w:hAnsiTheme="minorBidi" w:cstheme="minorBidi"/>
                <w:b/>
                <w:color w:val="FFFFFF" w:themeColor="background1"/>
                <w:sz w:val="18"/>
                <w:szCs w:val="18"/>
              </w:rPr>
              <w:t>LIKELIHOOD (low/med/high)</w:t>
            </w:r>
          </w:p>
        </w:tc>
        <w:tc>
          <w:tcPr>
            <w:tcW w:w="4500" w:type="dxa"/>
            <w:shd w:val="clear" w:color="auto" w:fill="000080"/>
          </w:tcPr>
          <w:p w14:paraId="4E9BF304" w14:textId="77777777" w:rsidR="004002DA" w:rsidRPr="0041504B" w:rsidRDefault="004002DA" w:rsidP="004002DA">
            <w:pPr>
              <w:rPr>
                <w:rFonts w:asciiTheme="minorBidi" w:hAnsiTheme="minorBidi" w:cstheme="minorBidi"/>
                <w:b/>
                <w:color w:val="FFFFFF"/>
                <w:sz w:val="18"/>
                <w:szCs w:val="18"/>
              </w:rPr>
            </w:pPr>
            <w:r w:rsidRPr="0041504B">
              <w:rPr>
                <w:rFonts w:asciiTheme="minorBidi" w:hAnsiTheme="minorBidi" w:cstheme="minorBidi"/>
                <w:b/>
                <w:color w:val="FFFFFF" w:themeColor="background1"/>
                <w:sz w:val="18"/>
                <w:szCs w:val="18"/>
              </w:rPr>
              <w:t xml:space="preserve">MITIGATION STRATEGY </w:t>
            </w:r>
          </w:p>
        </w:tc>
        <w:tc>
          <w:tcPr>
            <w:tcW w:w="1742" w:type="dxa"/>
            <w:shd w:val="clear" w:color="auto" w:fill="000080"/>
          </w:tcPr>
          <w:p w14:paraId="4FC6B2F3" w14:textId="77777777" w:rsidR="004002DA" w:rsidRPr="004002DA" w:rsidRDefault="004002DA" w:rsidP="004002DA">
            <w:pPr>
              <w:rPr>
                <w:rFonts w:asciiTheme="minorBidi" w:hAnsiTheme="minorBidi" w:cstheme="minorBidi"/>
                <w:b/>
                <w:color w:val="FFFFFF"/>
                <w:sz w:val="18"/>
                <w:szCs w:val="18"/>
                <w:lang w:val="en-US"/>
              </w:rPr>
            </w:pPr>
            <w:r w:rsidRPr="004002DA">
              <w:rPr>
                <w:rFonts w:asciiTheme="minorBidi" w:hAnsiTheme="minorBidi" w:cstheme="minorBidi"/>
                <w:b/>
                <w:color w:val="FFFFFF" w:themeColor="background1"/>
                <w:sz w:val="18"/>
                <w:szCs w:val="18"/>
                <w:lang w:val="en-US"/>
              </w:rPr>
              <w:t>RISK INFLUENCE</w:t>
            </w:r>
            <w:r w:rsidRPr="004002DA" w:rsidDel="00DA31EB">
              <w:rPr>
                <w:rFonts w:asciiTheme="minorBidi" w:hAnsiTheme="minorBidi" w:cstheme="minorBidi"/>
                <w:b/>
                <w:color w:val="FFFFFF" w:themeColor="background1"/>
                <w:sz w:val="18"/>
                <w:szCs w:val="18"/>
                <w:lang w:val="en-US"/>
              </w:rPr>
              <w:t xml:space="preserve"> </w:t>
            </w:r>
            <w:r w:rsidRPr="004002DA">
              <w:rPr>
                <w:rFonts w:asciiTheme="minorBidi" w:hAnsiTheme="minorBidi" w:cstheme="minorBidi"/>
                <w:b/>
                <w:color w:val="FFFFFF" w:themeColor="background1"/>
                <w:sz w:val="18"/>
                <w:szCs w:val="18"/>
                <w:lang w:val="en-US"/>
              </w:rPr>
              <w:t>(low/med/high)</w:t>
            </w:r>
          </w:p>
        </w:tc>
      </w:tr>
      <w:tr w:rsidR="004002DA" w:rsidRPr="0041504B" w14:paraId="7333C331" w14:textId="77777777" w:rsidTr="004002DA">
        <w:tc>
          <w:tcPr>
            <w:tcW w:w="9647" w:type="dxa"/>
            <w:gridSpan w:val="4"/>
            <w:shd w:val="clear" w:color="auto" w:fill="auto"/>
          </w:tcPr>
          <w:p w14:paraId="6E66A779" w14:textId="77777777" w:rsidR="004002DA" w:rsidRPr="00F12C3C" w:rsidRDefault="004002DA" w:rsidP="004002DA">
            <w:pPr>
              <w:rPr>
                <w:rFonts w:cs="Arial"/>
                <w:sz w:val="20"/>
                <w:lang w:val="en-US"/>
              </w:rPr>
            </w:pPr>
            <w:r w:rsidRPr="00F12C3C">
              <w:rPr>
                <w:rFonts w:cs="Arial"/>
                <w:b/>
                <w:bCs/>
                <w:sz w:val="20"/>
              </w:rPr>
              <w:t>Contextual Risks</w:t>
            </w:r>
          </w:p>
        </w:tc>
      </w:tr>
      <w:tr w:rsidR="004002DA" w:rsidRPr="0041504B" w14:paraId="5B5516FC" w14:textId="77777777" w:rsidTr="004002DA">
        <w:tc>
          <w:tcPr>
            <w:tcW w:w="1919" w:type="dxa"/>
            <w:shd w:val="clear" w:color="auto" w:fill="auto"/>
          </w:tcPr>
          <w:p w14:paraId="23D420EB" w14:textId="77777777" w:rsidR="004002DA" w:rsidRPr="00F12C3C" w:rsidRDefault="004002DA" w:rsidP="004002DA">
            <w:pPr>
              <w:rPr>
                <w:rFonts w:cs="Arial"/>
                <w:sz w:val="20"/>
                <w:lang w:val="en-US"/>
              </w:rPr>
            </w:pPr>
            <w:r w:rsidRPr="00F12C3C">
              <w:rPr>
                <w:rFonts w:eastAsia="Arial Narrow" w:cs="Arial"/>
                <w:sz w:val="20"/>
                <w:lang w:val="en-US"/>
              </w:rPr>
              <w:t>Deterioration of the security situation in the WB, EJ and Gaza, including annexation of Area C (Deal of the Century)</w:t>
            </w:r>
          </w:p>
        </w:tc>
        <w:tc>
          <w:tcPr>
            <w:tcW w:w="1486" w:type="dxa"/>
            <w:shd w:val="clear" w:color="auto" w:fill="auto"/>
          </w:tcPr>
          <w:p w14:paraId="1BFFA36D" w14:textId="77777777" w:rsidR="004002DA" w:rsidRPr="00F12C3C" w:rsidRDefault="004002DA" w:rsidP="004002DA">
            <w:pPr>
              <w:rPr>
                <w:rFonts w:cs="Arial"/>
                <w:b/>
                <w:sz w:val="20"/>
              </w:rPr>
            </w:pPr>
            <w:r w:rsidRPr="00F12C3C">
              <w:rPr>
                <w:rFonts w:cs="Arial"/>
                <w:b/>
                <w:sz w:val="20"/>
              </w:rPr>
              <w:t>medium</w:t>
            </w:r>
          </w:p>
        </w:tc>
        <w:tc>
          <w:tcPr>
            <w:tcW w:w="4500" w:type="dxa"/>
            <w:shd w:val="clear" w:color="auto" w:fill="auto"/>
          </w:tcPr>
          <w:p w14:paraId="392D4E16" w14:textId="77777777" w:rsidR="004002DA" w:rsidRPr="00F12C3C" w:rsidRDefault="004002DA" w:rsidP="004002DA">
            <w:pPr>
              <w:rPr>
                <w:rFonts w:cs="Arial"/>
                <w:sz w:val="20"/>
                <w:lang w:val="en-US"/>
              </w:rPr>
            </w:pPr>
            <w:r w:rsidRPr="00F12C3C">
              <w:rPr>
                <w:rFonts w:eastAsia="Arial Narrow" w:cs="Arial"/>
                <w:sz w:val="20"/>
                <w:lang w:val="en-US"/>
              </w:rPr>
              <w:t xml:space="preserve">Security and contingency planning for UNDP and partners </w:t>
            </w:r>
          </w:p>
          <w:p w14:paraId="1A197265" w14:textId="77777777" w:rsidR="004002DA" w:rsidRPr="00F12C3C" w:rsidRDefault="004002DA" w:rsidP="004002DA">
            <w:pPr>
              <w:rPr>
                <w:rFonts w:cs="Arial"/>
                <w:sz w:val="20"/>
                <w:lang w:val="en-US"/>
              </w:rPr>
            </w:pPr>
            <w:r w:rsidRPr="00F12C3C">
              <w:rPr>
                <w:rFonts w:eastAsia="Arial Narrow" w:cs="Arial"/>
                <w:sz w:val="20"/>
                <w:lang w:val="en-US"/>
              </w:rPr>
              <w:t xml:space="preserve">Two-ways sharing of information and updates on the security situation </w:t>
            </w:r>
          </w:p>
          <w:p w14:paraId="5D463C58" w14:textId="77777777" w:rsidR="004002DA" w:rsidRPr="00F12C3C" w:rsidRDefault="004002DA" w:rsidP="004002DA">
            <w:pPr>
              <w:rPr>
                <w:rFonts w:cs="Arial"/>
                <w:sz w:val="20"/>
                <w:lang w:val="en-US"/>
              </w:rPr>
            </w:pPr>
            <w:r w:rsidRPr="00F12C3C">
              <w:rPr>
                <w:rFonts w:eastAsia="Arial Narrow" w:cs="Arial"/>
                <w:sz w:val="20"/>
                <w:lang w:val="en-US"/>
              </w:rPr>
              <w:t>Development of partnerships with local constituents</w:t>
            </w:r>
          </w:p>
          <w:p w14:paraId="6A85E9E3" w14:textId="77777777" w:rsidR="004002DA" w:rsidRPr="00F12C3C" w:rsidRDefault="004002DA" w:rsidP="004002DA">
            <w:pPr>
              <w:rPr>
                <w:rFonts w:cs="Arial"/>
                <w:sz w:val="20"/>
                <w:lang w:val="en-US"/>
              </w:rPr>
            </w:pPr>
            <w:r w:rsidRPr="00F12C3C">
              <w:rPr>
                <w:rFonts w:eastAsia="Arial Narrow" w:cs="Arial"/>
                <w:sz w:val="20"/>
                <w:lang w:val="en-US"/>
              </w:rPr>
              <w:t>Opening of communication channels with communities for security updates</w:t>
            </w:r>
          </w:p>
          <w:p w14:paraId="2E6A9537" w14:textId="77777777" w:rsidR="004002DA" w:rsidRPr="00F12C3C" w:rsidRDefault="004002DA" w:rsidP="004002DA">
            <w:pPr>
              <w:rPr>
                <w:rFonts w:cs="Arial"/>
                <w:sz w:val="20"/>
                <w:lang w:val="en-US"/>
              </w:rPr>
            </w:pPr>
            <w:r w:rsidRPr="00F12C3C">
              <w:rPr>
                <w:rFonts w:eastAsia="Arial Narrow" w:cs="Arial"/>
                <w:sz w:val="20"/>
                <w:lang w:val="en-US"/>
              </w:rPr>
              <w:t>Implementation through local partners</w:t>
            </w:r>
            <w:r w:rsidRPr="00F12C3C">
              <w:rPr>
                <w:rFonts w:eastAsia="Arial" w:cs="Arial"/>
                <w:sz w:val="20"/>
                <w:lang w:val="en-US"/>
              </w:rPr>
              <w:t>, including local government units</w:t>
            </w:r>
          </w:p>
        </w:tc>
        <w:tc>
          <w:tcPr>
            <w:tcW w:w="1742" w:type="dxa"/>
            <w:shd w:val="clear" w:color="auto" w:fill="auto"/>
          </w:tcPr>
          <w:p w14:paraId="49EB1A19" w14:textId="77777777" w:rsidR="004002DA" w:rsidRPr="00F12C3C" w:rsidRDefault="004002DA" w:rsidP="004002DA">
            <w:pPr>
              <w:rPr>
                <w:rFonts w:cs="Arial"/>
                <w:b/>
                <w:sz w:val="20"/>
              </w:rPr>
            </w:pPr>
            <w:r w:rsidRPr="00F12C3C">
              <w:rPr>
                <w:rFonts w:cs="Arial"/>
                <w:b/>
                <w:sz w:val="20"/>
              </w:rPr>
              <w:t>high</w:t>
            </w:r>
          </w:p>
        </w:tc>
      </w:tr>
      <w:tr w:rsidR="004002DA" w:rsidRPr="0041504B" w14:paraId="5E6283C6" w14:textId="77777777" w:rsidTr="004002DA">
        <w:tc>
          <w:tcPr>
            <w:tcW w:w="1919" w:type="dxa"/>
            <w:shd w:val="clear" w:color="auto" w:fill="auto"/>
          </w:tcPr>
          <w:p w14:paraId="6A5F9C95" w14:textId="77777777" w:rsidR="004002DA" w:rsidRPr="00F12C3C" w:rsidRDefault="004002DA" w:rsidP="004002DA">
            <w:pPr>
              <w:rPr>
                <w:rFonts w:eastAsia="Arial Narrow" w:cs="Arial"/>
                <w:sz w:val="20"/>
                <w:lang w:val="en-US"/>
              </w:rPr>
            </w:pPr>
            <w:r w:rsidRPr="00F12C3C">
              <w:rPr>
                <w:rFonts w:eastAsia="Arial Narrow" w:cs="Arial"/>
                <w:sz w:val="20"/>
                <w:lang w:val="en-US"/>
              </w:rPr>
              <w:t>Increase in general access and movement restrictions</w:t>
            </w:r>
          </w:p>
        </w:tc>
        <w:tc>
          <w:tcPr>
            <w:tcW w:w="1486" w:type="dxa"/>
            <w:shd w:val="clear" w:color="auto" w:fill="auto"/>
          </w:tcPr>
          <w:p w14:paraId="7106F491" w14:textId="77777777" w:rsidR="004002DA" w:rsidRPr="00F12C3C" w:rsidRDefault="004002DA" w:rsidP="004002DA">
            <w:pPr>
              <w:rPr>
                <w:rFonts w:eastAsia="Arial Narrow" w:cs="Arial"/>
                <w:b/>
                <w:sz w:val="20"/>
              </w:rPr>
            </w:pPr>
            <w:r w:rsidRPr="00F12C3C">
              <w:rPr>
                <w:rFonts w:eastAsia="Arial Narrow" w:cs="Arial"/>
                <w:b/>
                <w:sz w:val="20"/>
              </w:rPr>
              <w:t>medium</w:t>
            </w:r>
          </w:p>
          <w:p w14:paraId="32E142DB" w14:textId="77777777" w:rsidR="004002DA" w:rsidRPr="00F12C3C" w:rsidRDefault="004002DA" w:rsidP="004002DA">
            <w:pPr>
              <w:rPr>
                <w:rFonts w:eastAsia="Arial Narrow" w:cs="Arial"/>
                <w:b/>
                <w:sz w:val="20"/>
              </w:rPr>
            </w:pPr>
          </w:p>
        </w:tc>
        <w:tc>
          <w:tcPr>
            <w:tcW w:w="4500" w:type="dxa"/>
            <w:shd w:val="clear" w:color="auto" w:fill="auto"/>
          </w:tcPr>
          <w:p w14:paraId="06CE9FDB" w14:textId="77777777" w:rsidR="004002DA" w:rsidRPr="00F12C3C" w:rsidRDefault="004002DA" w:rsidP="004002DA">
            <w:pPr>
              <w:rPr>
                <w:rFonts w:eastAsia="Arial Narrow" w:cs="Arial"/>
                <w:sz w:val="20"/>
                <w:lang w:val="en-US"/>
              </w:rPr>
            </w:pPr>
            <w:r w:rsidRPr="00F12C3C">
              <w:rPr>
                <w:rFonts w:eastAsia="Arial Narrow" w:cs="Arial"/>
                <w:sz w:val="20"/>
                <w:lang w:val="en-US"/>
              </w:rPr>
              <w:t>Liaising with OCHA and Government of Palestine to monitor access restrictions</w:t>
            </w:r>
          </w:p>
          <w:p w14:paraId="3FD7554C" w14:textId="77777777" w:rsidR="004002DA" w:rsidRPr="00F12C3C" w:rsidRDefault="004002DA" w:rsidP="004002DA">
            <w:pPr>
              <w:rPr>
                <w:rFonts w:eastAsia="Arial Narrow" w:cs="Arial"/>
                <w:sz w:val="20"/>
                <w:lang w:val="en-US"/>
              </w:rPr>
            </w:pPr>
            <w:r w:rsidRPr="00F12C3C">
              <w:rPr>
                <w:rFonts w:eastAsia="Arial Narrow" w:cs="Arial"/>
                <w:sz w:val="20"/>
                <w:lang w:val="en-US"/>
              </w:rPr>
              <w:t>Opening of communication channels with communities for access updates</w:t>
            </w:r>
          </w:p>
          <w:p w14:paraId="42F01C0D" w14:textId="77777777" w:rsidR="004002DA" w:rsidRPr="00F12C3C" w:rsidRDefault="004002DA" w:rsidP="004002DA">
            <w:pPr>
              <w:rPr>
                <w:rFonts w:eastAsia="Arial Narrow" w:cs="Arial"/>
                <w:sz w:val="20"/>
                <w:lang w:val="en-US"/>
              </w:rPr>
            </w:pPr>
            <w:r w:rsidRPr="00F12C3C">
              <w:rPr>
                <w:rFonts w:eastAsia="Arial Narrow" w:cs="Arial"/>
                <w:sz w:val="20"/>
                <w:lang w:val="en-US"/>
              </w:rPr>
              <w:t xml:space="preserve">Wide geographic distribution of operations </w:t>
            </w:r>
          </w:p>
          <w:p w14:paraId="1070F797" w14:textId="77777777" w:rsidR="004002DA" w:rsidRPr="00F12C3C" w:rsidRDefault="004002DA" w:rsidP="004002DA">
            <w:pPr>
              <w:rPr>
                <w:rFonts w:eastAsia="Arial Narrow" w:cs="Arial"/>
                <w:sz w:val="20"/>
                <w:lang w:val="en-US"/>
              </w:rPr>
            </w:pPr>
            <w:r w:rsidRPr="00F12C3C">
              <w:rPr>
                <w:rFonts w:eastAsia="Arial Narrow" w:cs="Arial"/>
                <w:sz w:val="20"/>
                <w:lang w:val="en-US"/>
              </w:rPr>
              <w:t xml:space="preserve">UN, Government of Palestine, and Donor pressure on Israeli authorities to remove access restrictions for programme operations </w:t>
            </w:r>
          </w:p>
          <w:p w14:paraId="58D71FAA" w14:textId="77777777" w:rsidR="004002DA" w:rsidRPr="00F12C3C" w:rsidRDefault="004002DA" w:rsidP="004002DA">
            <w:pPr>
              <w:rPr>
                <w:rFonts w:eastAsia="Arial Narrow" w:cs="Arial"/>
                <w:sz w:val="20"/>
                <w:lang w:val="en-US"/>
              </w:rPr>
            </w:pPr>
            <w:r w:rsidRPr="00F12C3C">
              <w:rPr>
                <w:rFonts w:eastAsia="Arial Narrow" w:cs="Arial"/>
                <w:sz w:val="20"/>
                <w:lang w:val="en-US"/>
              </w:rPr>
              <w:t xml:space="preserve">Implementation through local partners / use of locally available resources </w:t>
            </w:r>
          </w:p>
        </w:tc>
        <w:tc>
          <w:tcPr>
            <w:tcW w:w="1742" w:type="dxa"/>
            <w:shd w:val="clear" w:color="auto" w:fill="auto"/>
          </w:tcPr>
          <w:p w14:paraId="4FE6A55B" w14:textId="77777777" w:rsidR="004002DA" w:rsidRPr="00F12C3C" w:rsidRDefault="004002DA" w:rsidP="004002DA">
            <w:pPr>
              <w:rPr>
                <w:rFonts w:eastAsia="Arial Narrow" w:cs="Arial"/>
                <w:b/>
                <w:sz w:val="20"/>
              </w:rPr>
            </w:pPr>
            <w:r w:rsidRPr="00F12C3C">
              <w:rPr>
                <w:rFonts w:eastAsia="Arial Narrow" w:cs="Arial"/>
                <w:b/>
                <w:sz w:val="20"/>
              </w:rPr>
              <w:t>high</w:t>
            </w:r>
          </w:p>
        </w:tc>
      </w:tr>
      <w:tr w:rsidR="004002DA" w:rsidRPr="0041504B" w14:paraId="627535F7" w14:textId="77777777" w:rsidTr="004002DA">
        <w:tc>
          <w:tcPr>
            <w:tcW w:w="1919" w:type="dxa"/>
            <w:shd w:val="clear" w:color="auto" w:fill="auto"/>
          </w:tcPr>
          <w:p w14:paraId="04663C78" w14:textId="77777777" w:rsidR="004002DA" w:rsidRPr="00F12C3C" w:rsidRDefault="004002DA" w:rsidP="004002DA">
            <w:pPr>
              <w:rPr>
                <w:rFonts w:eastAsia="Arial Narrow" w:cs="Arial"/>
                <w:sz w:val="20"/>
                <w:lang w:val="en-US"/>
              </w:rPr>
            </w:pPr>
            <w:r w:rsidRPr="00F12C3C">
              <w:rPr>
                <w:rFonts w:eastAsia="Arial Narrow" w:cs="Arial"/>
                <w:sz w:val="20"/>
                <w:lang w:val="en-US"/>
              </w:rPr>
              <w:t>Closures on account of COVID-19 continue or a second wave emerges and disrupt implementation of activities or changing priorities</w:t>
            </w:r>
          </w:p>
        </w:tc>
        <w:tc>
          <w:tcPr>
            <w:tcW w:w="1486" w:type="dxa"/>
            <w:shd w:val="clear" w:color="auto" w:fill="auto"/>
          </w:tcPr>
          <w:p w14:paraId="612A6C88" w14:textId="77777777" w:rsidR="004002DA" w:rsidRPr="00F12C3C" w:rsidRDefault="004002DA" w:rsidP="004002DA">
            <w:pPr>
              <w:rPr>
                <w:rFonts w:eastAsia="Arial Narrow" w:cs="Arial"/>
                <w:b/>
                <w:bCs/>
                <w:sz w:val="20"/>
              </w:rPr>
            </w:pPr>
            <w:r w:rsidRPr="00F12C3C">
              <w:rPr>
                <w:rFonts w:eastAsia="Arial Narrow" w:cs="Arial"/>
                <w:b/>
                <w:bCs/>
                <w:sz w:val="20"/>
              </w:rPr>
              <w:t>high</w:t>
            </w:r>
          </w:p>
          <w:p w14:paraId="33928C4D" w14:textId="77777777" w:rsidR="004002DA" w:rsidRPr="00F12C3C" w:rsidRDefault="004002DA" w:rsidP="004002DA">
            <w:pPr>
              <w:rPr>
                <w:rFonts w:cs="Arial"/>
                <w:b/>
                <w:sz w:val="20"/>
              </w:rPr>
            </w:pPr>
          </w:p>
        </w:tc>
        <w:tc>
          <w:tcPr>
            <w:tcW w:w="4500" w:type="dxa"/>
            <w:shd w:val="clear" w:color="auto" w:fill="auto"/>
          </w:tcPr>
          <w:p w14:paraId="181D3939" w14:textId="77777777" w:rsidR="004002DA" w:rsidRPr="00F12C3C" w:rsidRDefault="004002DA" w:rsidP="004002DA">
            <w:pPr>
              <w:rPr>
                <w:rFonts w:eastAsia="Arial Narrow" w:cs="Arial"/>
                <w:sz w:val="20"/>
                <w:lang w:val="en-US"/>
              </w:rPr>
            </w:pPr>
            <w:r w:rsidRPr="00F12C3C">
              <w:rPr>
                <w:rFonts w:eastAsia="Arial Narrow" w:cs="Arial"/>
                <w:sz w:val="20"/>
                <w:lang w:val="en-US"/>
              </w:rPr>
              <w:t xml:space="preserve">Programme activities remain flexible to emerging needs </w:t>
            </w:r>
            <w:proofErr w:type="gramStart"/>
            <w:r w:rsidRPr="00F12C3C">
              <w:rPr>
                <w:rFonts w:eastAsia="Arial Narrow" w:cs="Arial"/>
                <w:sz w:val="20"/>
                <w:lang w:val="en-US"/>
              </w:rPr>
              <w:t>in light of</w:t>
            </w:r>
            <w:proofErr w:type="gramEnd"/>
            <w:r w:rsidRPr="00F12C3C">
              <w:rPr>
                <w:rFonts w:eastAsia="Arial Narrow" w:cs="Arial"/>
                <w:sz w:val="20"/>
                <w:lang w:val="en-US"/>
              </w:rPr>
              <w:t xml:space="preserve"> COVID-19</w:t>
            </w:r>
          </w:p>
          <w:p w14:paraId="3428EB9E" w14:textId="77777777" w:rsidR="004002DA" w:rsidRPr="00F12C3C" w:rsidRDefault="004002DA" w:rsidP="004002DA">
            <w:pPr>
              <w:rPr>
                <w:rFonts w:eastAsia="Arial Narrow" w:cs="Arial"/>
                <w:sz w:val="20"/>
                <w:lang w:val="en-US"/>
              </w:rPr>
            </w:pPr>
            <w:r w:rsidRPr="00F12C3C">
              <w:rPr>
                <w:rFonts w:eastAsia="Arial Narrow" w:cs="Arial"/>
                <w:sz w:val="20"/>
                <w:lang w:val="en-US"/>
              </w:rPr>
              <w:t>Revise annual workplan with the donor approval</w:t>
            </w:r>
          </w:p>
          <w:p w14:paraId="20E3D0CF" w14:textId="77777777" w:rsidR="004002DA" w:rsidRPr="00F12C3C" w:rsidRDefault="004002DA" w:rsidP="004002DA">
            <w:pPr>
              <w:rPr>
                <w:rFonts w:eastAsia="Arial Narrow" w:cs="Arial"/>
                <w:sz w:val="20"/>
                <w:lang w:val="en-US"/>
              </w:rPr>
            </w:pPr>
            <w:r w:rsidRPr="00F12C3C">
              <w:rPr>
                <w:rFonts w:eastAsia="Arial Narrow" w:cs="Arial"/>
                <w:sz w:val="20"/>
                <w:lang w:val="en-US"/>
              </w:rPr>
              <w:t>Re-programme activities towards COVID-19 needs</w:t>
            </w:r>
          </w:p>
          <w:p w14:paraId="5ECE68D1" w14:textId="77777777" w:rsidR="004002DA" w:rsidRPr="00F12C3C" w:rsidRDefault="004002DA" w:rsidP="004002DA">
            <w:pPr>
              <w:rPr>
                <w:rFonts w:eastAsia="Arial Narrow" w:cs="Arial"/>
                <w:sz w:val="20"/>
                <w:lang w:val="en-US"/>
              </w:rPr>
            </w:pPr>
          </w:p>
        </w:tc>
        <w:tc>
          <w:tcPr>
            <w:tcW w:w="1742" w:type="dxa"/>
            <w:shd w:val="clear" w:color="auto" w:fill="auto"/>
          </w:tcPr>
          <w:p w14:paraId="2F980F0A" w14:textId="77777777" w:rsidR="004002DA" w:rsidRPr="00F12C3C" w:rsidRDefault="004002DA" w:rsidP="004002DA">
            <w:pPr>
              <w:rPr>
                <w:rFonts w:eastAsia="Arial Narrow" w:cs="Arial"/>
                <w:b/>
                <w:bCs/>
                <w:sz w:val="20"/>
              </w:rPr>
            </w:pPr>
            <w:r w:rsidRPr="00F12C3C">
              <w:rPr>
                <w:rFonts w:eastAsia="Arial Narrow" w:cs="Arial"/>
                <w:b/>
                <w:bCs/>
                <w:sz w:val="20"/>
              </w:rPr>
              <w:t>high</w:t>
            </w:r>
          </w:p>
          <w:p w14:paraId="7785C8CC" w14:textId="77777777" w:rsidR="004002DA" w:rsidRPr="00F12C3C" w:rsidRDefault="004002DA" w:rsidP="004002DA">
            <w:pPr>
              <w:rPr>
                <w:rFonts w:cs="Arial"/>
                <w:b/>
                <w:sz w:val="20"/>
              </w:rPr>
            </w:pPr>
          </w:p>
        </w:tc>
      </w:tr>
      <w:tr w:rsidR="004002DA" w:rsidRPr="0041504B" w14:paraId="45AB47E6" w14:textId="77777777" w:rsidTr="004002DA">
        <w:tc>
          <w:tcPr>
            <w:tcW w:w="9647" w:type="dxa"/>
            <w:gridSpan w:val="4"/>
            <w:shd w:val="clear" w:color="auto" w:fill="auto"/>
          </w:tcPr>
          <w:p w14:paraId="45A4284F" w14:textId="77777777" w:rsidR="004002DA" w:rsidRPr="00F12C3C" w:rsidRDefault="004002DA" w:rsidP="004002DA">
            <w:pPr>
              <w:rPr>
                <w:rFonts w:cs="Arial"/>
                <w:b/>
                <w:sz w:val="20"/>
              </w:rPr>
            </w:pPr>
            <w:r w:rsidRPr="00F12C3C">
              <w:rPr>
                <w:rFonts w:cs="Arial"/>
                <w:b/>
                <w:sz w:val="20"/>
                <w:lang w:val="en-US"/>
              </w:rPr>
              <w:lastRenderedPageBreak/>
              <w:t xml:space="preserve">Programmatic risks (as per the Results matrix): </w:t>
            </w:r>
            <w:r w:rsidRPr="00F12C3C">
              <w:rPr>
                <w:rFonts w:cs="Arial"/>
                <w:sz w:val="20"/>
                <w:lang w:val="en-US"/>
              </w:rPr>
              <w:t>Main risks of failure to achieve programme objectives. Also, risk of causing harm through intervention.</w:t>
            </w:r>
          </w:p>
        </w:tc>
      </w:tr>
      <w:tr w:rsidR="004002DA" w:rsidRPr="0041504B" w14:paraId="7ECB8D75" w14:textId="77777777" w:rsidTr="004002DA">
        <w:tc>
          <w:tcPr>
            <w:tcW w:w="1919" w:type="dxa"/>
            <w:shd w:val="clear" w:color="auto" w:fill="auto"/>
          </w:tcPr>
          <w:p w14:paraId="56F21D4B" w14:textId="77777777" w:rsidR="004002DA" w:rsidRPr="00F12C3C" w:rsidRDefault="004002DA" w:rsidP="004002DA">
            <w:pPr>
              <w:rPr>
                <w:rFonts w:eastAsia="Arial Narrow" w:cs="Arial"/>
                <w:sz w:val="20"/>
                <w:lang w:val="en-US"/>
              </w:rPr>
            </w:pPr>
            <w:r w:rsidRPr="00F12C3C">
              <w:rPr>
                <w:rFonts w:eastAsia="Arial Narrow" w:cs="Arial"/>
                <w:sz w:val="20"/>
                <w:lang w:val="en-US"/>
              </w:rPr>
              <w:t>Programme outputs are achieved but impact at the outcome level is minimal</w:t>
            </w:r>
          </w:p>
        </w:tc>
        <w:tc>
          <w:tcPr>
            <w:tcW w:w="1486" w:type="dxa"/>
            <w:shd w:val="clear" w:color="auto" w:fill="auto"/>
          </w:tcPr>
          <w:p w14:paraId="215A9ED0" w14:textId="77777777" w:rsidR="004002DA" w:rsidRPr="00F12C3C" w:rsidRDefault="004002DA" w:rsidP="004002DA">
            <w:pPr>
              <w:rPr>
                <w:rFonts w:eastAsia="Arial Narrow" w:cs="Arial"/>
                <w:b/>
                <w:sz w:val="20"/>
              </w:rPr>
            </w:pPr>
            <w:r w:rsidRPr="00F12C3C">
              <w:rPr>
                <w:rFonts w:eastAsia="Arial Narrow" w:cs="Arial"/>
                <w:b/>
                <w:sz w:val="20"/>
              </w:rPr>
              <w:t>low</w:t>
            </w:r>
          </w:p>
        </w:tc>
        <w:tc>
          <w:tcPr>
            <w:tcW w:w="4500" w:type="dxa"/>
            <w:shd w:val="clear" w:color="auto" w:fill="auto"/>
          </w:tcPr>
          <w:p w14:paraId="2C8B5FDD" w14:textId="77777777" w:rsidR="004002DA" w:rsidRPr="00F12C3C" w:rsidRDefault="004002DA" w:rsidP="004002DA">
            <w:pPr>
              <w:rPr>
                <w:rFonts w:eastAsia="Arial Narrow" w:cs="Arial"/>
                <w:sz w:val="20"/>
                <w:lang w:val="en-US"/>
              </w:rPr>
            </w:pPr>
            <w:r w:rsidRPr="00F12C3C">
              <w:rPr>
                <w:rFonts w:eastAsia="Arial Narrow" w:cs="Arial"/>
                <w:sz w:val="20"/>
                <w:lang w:val="en-US"/>
              </w:rPr>
              <w:t>Conduct periodical programme review to ensure continuing relevance and contribution to the outcome.</w:t>
            </w:r>
          </w:p>
          <w:p w14:paraId="79E97401" w14:textId="77777777" w:rsidR="004002DA" w:rsidRPr="00F12C3C" w:rsidRDefault="004002DA" w:rsidP="004002DA">
            <w:pPr>
              <w:rPr>
                <w:rFonts w:eastAsia="Arial Narrow" w:cs="Arial"/>
                <w:sz w:val="20"/>
                <w:lang w:val="en-US"/>
              </w:rPr>
            </w:pPr>
            <w:r w:rsidRPr="00F12C3C">
              <w:rPr>
                <w:rFonts w:eastAsia="Arial Narrow" w:cs="Arial"/>
                <w:sz w:val="20"/>
                <w:lang w:val="en-US"/>
              </w:rPr>
              <w:t>Carry out evaluation reviews to guide the implementation and address related challenges/ constraints</w:t>
            </w:r>
          </w:p>
        </w:tc>
        <w:tc>
          <w:tcPr>
            <w:tcW w:w="1742" w:type="dxa"/>
            <w:shd w:val="clear" w:color="auto" w:fill="auto"/>
          </w:tcPr>
          <w:p w14:paraId="0C143896" w14:textId="77777777" w:rsidR="004002DA" w:rsidRPr="00F12C3C" w:rsidRDefault="004002DA" w:rsidP="004002DA">
            <w:pPr>
              <w:rPr>
                <w:rFonts w:eastAsia="Arial Narrow" w:cs="Arial"/>
                <w:b/>
                <w:sz w:val="20"/>
              </w:rPr>
            </w:pPr>
            <w:r w:rsidRPr="00F12C3C">
              <w:rPr>
                <w:rFonts w:eastAsia="Arial Narrow" w:cs="Arial"/>
                <w:b/>
                <w:sz w:val="20"/>
              </w:rPr>
              <w:t>medium</w:t>
            </w:r>
          </w:p>
        </w:tc>
      </w:tr>
      <w:tr w:rsidR="004002DA" w:rsidRPr="0041504B" w14:paraId="288C3F8D" w14:textId="77777777" w:rsidTr="004002DA">
        <w:tc>
          <w:tcPr>
            <w:tcW w:w="1919" w:type="dxa"/>
            <w:shd w:val="clear" w:color="auto" w:fill="auto"/>
          </w:tcPr>
          <w:p w14:paraId="61FEBFD5" w14:textId="77777777" w:rsidR="004002DA" w:rsidRPr="00F12C3C" w:rsidRDefault="004002DA" w:rsidP="004002DA">
            <w:pPr>
              <w:rPr>
                <w:rFonts w:eastAsia="Arial Narrow" w:cs="Arial"/>
                <w:sz w:val="20"/>
                <w:lang w:val="en-US"/>
              </w:rPr>
            </w:pPr>
            <w:r w:rsidRPr="00F12C3C">
              <w:rPr>
                <w:rFonts w:eastAsia="Arial Narrow" w:cs="Arial"/>
                <w:sz w:val="20"/>
                <w:lang w:val="en-US"/>
              </w:rPr>
              <w:t>In cases where permits are needed, increasing difficulties in securing permits for EJ, Area C and Gaza</w:t>
            </w:r>
          </w:p>
          <w:p w14:paraId="051231D0" w14:textId="77777777" w:rsidR="004002DA" w:rsidRPr="00F12C3C" w:rsidRDefault="004002DA" w:rsidP="004002DA">
            <w:pPr>
              <w:rPr>
                <w:rFonts w:eastAsia="Arial Narrow" w:cs="Arial"/>
                <w:sz w:val="20"/>
                <w:lang w:val="en-US"/>
              </w:rPr>
            </w:pPr>
          </w:p>
        </w:tc>
        <w:tc>
          <w:tcPr>
            <w:tcW w:w="1486" w:type="dxa"/>
            <w:shd w:val="clear" w:color="auto" w:fill="auto"/>
          </w:tcPr>
          <w:p w14:paraId="260DAD77" w14:textId="77777777" w:rsidR="004002DA" w:rsidRPr="00F12C3C" w:rsidRDefault="004002DA" w:rsidP="004002DA">
            <w:pPr>
              <w:rPr>
                <w:rFonts w:eastAsia="Arial Narrow" w:cs="Arial"/>
                <w:b/>
                <w:sz w:val="20"/>
              </w:rPr>
            </w:pPr>
            <w:r w:rsidRPr="00F12C3C">
              <w:rPr>
                <w:rFonts w:eastAsia="Arial Narrow" w:cs="Arial"/>
                <w:b/>
                <w:sz w:val="20"/>
              </w:rPr>
              <w:t>medium</w:t>
            </w:r>
          </w:p>
          <w:p w14:paraId="75C46AD8" w14:textId="77777777" w:rsidR="004002DA" w:rsidRPr="00F12C3C" w:rsidRDefault="004002DA" w:rsidP="004002DA">
            <w:pPr>
              <w:rPr>
                <w:rFonts w:eastAsia="Arial Narrow" w:cs="Arial"/>
                <w:b/>
                <w:sz w:val="20"/>
              </w:rPr>
            </w:pPr>
          </w:p>
        </w:tc>
        <w:tc>
          <w:tcPr>
            <w:tcW w:w="4500" w:type="dxa"/>
            <w:shd w:val="clear" w:color="auto" w:fill="auto"/>
          </w:tcPr>
          <w:p w14:paraId="0B43DEA7" w14:textId="77777777" w:rsidR="004002DA" w:rsidRPr="00F12C3C" w:rsidRDefault="004002DA" w:rsidP="004002DA">
            <w:pPr>
              <w:rPr>
                <w:rFonts w:eastAsia="Arial Narrow" w:cs="Arial"/>
                <w:sz w:val="20"/>
                <w:lang w:val="en-US"/>
              </w:rPr>
            </w:pPr>
            <w:r w:rsidRPr="00F12C3C">
              <w:rPr>
                <w:rFonts w:eastAsia="Arial Narrow" w:cs="Arial"/>
                <w:sz w:val="20"/>
                <w:lang w:val="en-US"/>
              </w:rPr>
              <w:t xml:space="preserve">Pre-implementation assessment of prospects to secure permits  </w:t>
            </w:r>
          </w:p>
          <w:p w14:paraId="45C15BA6" w14:textId="77777777" w:rsidR="004002DA" w:rsidRPr="00F12C3C" w:rsidRDefault="004002DA" w:rsidP="004002DA">
            <w:pPr>
              <w:rPr>
                <w:rFonts w:eastAsia="Arial Narrow" w:cs="Arial"/>
                <w:sz w:val="20"/>
                <w:lang w:val="en-US"/>
              </w:rPr>
            </w:pPr>
            <w:r w:rsidRPr="00F12C3C">
              <w:rPr>
                <w:rFonts w:eastAsia="Arial Narrow" w:cs="Arial"/>
                <w:sz w:val="20"/>
                <w:lang w:val="en-US"/>
              </w:rPr>
              <w:t xml:space="preserve">Relationship management with relevant Israeli authorities </w:t>
            </w:r>
          </w:p>
          <w:p w14:paraId="25E5C4E0" w14:textId="77777777" w:rsidR="004002DA" w:rsidRPr="00F12C3C" w:rsidRDefault="004002DA" w:rsidP="004002DA">
            <w:pPr>
              <w:rPr>
                <w:rFonts w:eastAsia="Arial Narrow" w:cs="Arial"/>
                <w:sz w:val="20"/>
                <w:lang w:val="en-US"/>
              </w:rPr>
            </w:pPr>
            <w:r w:rsidRPr="00F12C3C">
              <w:rPr>
                <w:rFonts w:eastAsia="Arial Narrow" w:cs="Arial"/>
                <w:sz w:val="20"/>
                <w:lang w:val="en-US"/>
              </w:rPr>
              <w:t>Government of Palestine, UN, Quartet and Donor support and follow-up</w:t>
            </w:r>
          </w:p>
          <w:p w14:paraId="7ABE897B" w14:textId="77777777" w:rsidR="004002DA" w:rsidRPr="00F12C3C" w:rsidRDefault="004002DA" w:rsidP="004002DA">
            <w:pPr>
              <w:rPr>
                <w:rFonts w:eastAsia="Arial Narrow" w:cs="Arial"/>
                <w:sz w:val="20"/>
                <w:lang w:val="en-US"/>
              </w:rPr>
            </w:pPr>
            <w:r w:rsidRPr="00F12C3C">
              <w:rPr>
                <w:rFonts w:eastAsia="Arial Narrow" w:cs="Arial"/>
                <w:sz w:val="20"/>
                <w:lang w:val="en-US"/>
              </w:rPr>
              <w:t xml:space="preserve">Identification of alternative programmatic options  </w:t>
            </w:r>
          </w:p>
          <w:p w14:paraId="7AAD3827" w14:textId="77777777" w:rsidR="004002DA" w:rsidRPr="00F12C3C" w:rsidRDefault="004002DA" w:rsidP="004002DA">
            <w:pPr>
              <w:rPr>
                <w:rFonts w:eastAsia="Arial Narrow" w:cs="Arial"/>
                <w:sz w:val="20"/>
                <w:lang w:val="en-US"/>
              </w:rPr>
            </w:pPr>
            <w:r w:rsidRPr="00F12C3C">
              <w:rPr>
                <w:rFonts w:eastAsia="Arial Narrow" w:cs="Arial"/>
                <w:sz w:val="20"/>
                <w:lang w:val="en-US"/>
              </w:rPr>
              <w:t xml:space="preserve">Measures to minimize visibility are in place </w:t>
            </w:r>
          </w:p>
          <w:p w14:paraId="625035C3" w14:textId="77777777" w:rsidR="004002DA" w:rsidRPr="00F12C3C" w:rsidRDefault="004002DA" w:rsidP="004002DA">
            <w:pPr>
              <w:rPr>
                <w:rFonts w:eastAsia="Arial Narrow" w:cs="Arial"/>
                <w:sz w:val="20"/>
                <w:lang w:val="en-US"/>
              </w:rPr>
            </w:pPr>
            <w:r w:rsidRPr="00F12C3C">
              <w:rPr>
                <w:rFonts w:eastAsia="Arial Narrow" w:cs="Arial"/>
                <w:sz w:val="20"/>
                <w:lang w:val="en-US"/>
              </w:rPr>
              <w:t>Integrate protection elements in the design of projects</w:t>
            </w:r>
          </w:p>
          <w:p w14:paraId="3A2B74F3" w14:textId="77777777" w:rsidR="004002DA" w:rsidRPr="00F12C3C" w:rsidRDefault="004002DA" w:rsidP="004002DA">
            <w:pPr>
              <w:rPr>
                <w:rFonts w:eastAsia="Arial Narrow" w:cs="Arial"/>
                <w:sz w:val="20"/>
                <w:lang w:val="en-US"/>
              </w:rPr>
            </w:pPr>
            <w:r w:rsidRPr="00F12C3C">
              <w:rPr>
                <w:rFonts w:eastAsia="Arial Narrow" w:cs="Arial"/>
                <w:sz w:val="20"/>
                <w:lang w:val="en-US"/>
              </w:rPr>
              <w:t xml:space="preserve">Advocacy and communication strategy in place </w:t>
            </w:r>
          </w:p>
          <w:p w14:paraId="30325277" w14:textId="77777777" w:rsidR="004002DA" w:rsidRPr="00F12C3C" w:rsidRDefault="004002DA" w:rsidP="004002DA">
            <w:pPr>
              <w:rPr>
                <w:rFonts w:eastAsia="Arial Narrow" w:cs="Arial"/>
                <w:sz w:val="20"/>
                <w:lang w:val="en-US"/>
              </w:rPr>
            </w:pPr>
            <w:r w:rsidRPr="00F12C3C">
              <w:rPr>
                <w:rFonts w:eastAsia="Arial Narrow" w:cs="Arial"/>
                <w:sz w:val="20"/>
                <w:lang w:val="en-US"/>
              </w:rPr>
              <w:t>Prepare activities with various levels of risk to remain flexible to changing levels of risk</w:t>
            </w:r>
          </w:p>
          <w:p w14:paraId="15925DF3" w14:textId="77777777" w:rsidR="004002DA" w:rsidRPr="00F12C3C" w:rsidRDefault="004002DA" w:rsidP="004002DA">
            <w:pPr>
              <w:rPr>
                <w:rFonts w:eastAsia="Arial Narrow" w:cs="Arial"/>
                <w:sz w:val="20"/>
                <w:lang w:val="en-US"/>
              </w:rPr>
            </w:pPr>
            <w:r w:rsidRPr="00F12C3C">
              <w:rPr>
                <w:rFonts w:eastAsia="Arial Narrow" w:cs="Arial"/>
                <w:sz w:val="20"/>
                <w:lang w:val="en-US"/>
              </w:rPr>
              <w:t>Communities are properly consulted in advance of the risk involved and accept it</w:t>
            </w:r>
          </w:p>
        </w:tc>
        <w:tc>
          <w:tcPr>
            <w:tcW w:w="1742" w:type="dxa"/>
            <w:shd w:val="clear" w:color="auto" w:fill="auto"/>
          </w:tcPr>
          <w:p w14:paraId="2B2AE807" w14:textId="77777777" w:rsidR="004002DA" w:rsidRPr="00F12C3C" w:rsidRDefault="004002DA" w:rsidP="004002DA">
            <w:pPr>
              <w:rPr>
                <w:rFonts w:eastAsia="Arial Narrow" w:cs="Arial"/>
                <w:b/>
                <w:sz w:val="20"/>
              </w:rPr>
            </w:pPr>
            <w:r w:rsidRPr="00F12C3C">
              <w:rPr>
                <w:rFonts w:eastAsia="Arial Narrow" w:cs="Arial"/>
                <w:b/>
                <w:sz w:val="20"/>
              </w:rPr>
              <w:t>medium</w:t>
            </w:r>
          </w:p>
          <w:p w14:paraId="28142997" w14:textId="77777777" w:rsidR="004002DA" w:rsidRPr="00F12C3C" w:rsidRDefault="004002DA" w:rsidP="004002DA">
            <w:pPr>
              <w:rPr>
                <w:rFonts w:eastAsia="Arial Narrow" w:cs="Arial"/>
                <w:b/>
                <w:sz w:val="20"/>
              </w:rPr>
            </w:pPr>
          </w:p>
        </w:tc>
      </w:tr>
      <w:tr w:rsidR="004002DA" w:rsidRPr="0041504B" w14:paraId="7D02BE1B" w14:textId="77777777" w:rsidTr="004002DA">
        <w:tc>
          <w:tcPr>
            <w:tcW w:w="1919" w:type="dxa"/>
            <w:shd w:val="clear" w:color="auto" w:fill="auto"/>
          </w:tcPr>
          <w:p w14:paraId="276ED8D2" w14:textId="77777777" w:rsidR="004002DA" w:rsidRPr="00F12C3C" w:rsidRDefault="004002DA" w:rsidP="004002DA">
            <w:pPr>
              <w:rPr>
                <w:rFonts w:eastAsia="Arial Narrow" w:cs="Arial"/>
                <w:sz w:val="20"/>
                <w:lang w:val="en-US"/>
              </w:rPr>
            </w:pPr>
            <w:r w:rsidRPr="00F12C3C">
              <w:rPr>
                <w:rFonts w:eastAsia="Arial Narrow" w:cs="Arial"/>
                <w:sz w:val="20"/>
                <w:lang w:val="en-US"/>
              </w:rPr>
              <w:t>Negative impact on human rights</w:t>
            </w:r>
          </w:p>
        </w:tc>
        <w:tc>
          <w:tcPr>
            <w:tcW w:w="1486" w:type="dxa"/>
            <w:shd w:val="clear" w:color="auto" w:fill="auto"/>
          </w:tcPr>
          <w:p w14:paraId="6280A689" w14:textId="77777777" w:rsidR="004002DA" w:rsidRPr="00F12C3C" w:rsidRDefault="004002DA" w:rsidP="004002DA">
            <w:pPr>
              <w:rPr>
                <w:rFonts w:eastAsia="Arial Narrow" w:cs="Arial"/>
                <w:b/>
                <w:sz w:val="20"/>
              </w:rPr>
            </w:pPr>
            <w:r w:rsidRPr="00F12C3C">
              <w:rPr>
                <w:rFonts w:eastAsia="Arial Narrow" w:cs="Arial"/>
                <w:b/>
                <w:sz w:val="20"/>
              </w:rPr>
              <w:t>low</w:t>
            </w:r>
          </w:p>
        </w:tc>
        <w:tc>
          <w:tcPr>
            <w:tcW w:w="4500" w:type="dxa"/>
            <w:shd w:val="clear" w:color="auto" w:fill="auto"/>
          </w:tcPr>
          <w:p w14:paraId="7C81C316" w14:textId="77777777" w:rsidR="004002DA" w:rsidRPr="00F12C3C" w:rsidRDefault="004002DA" w:rsidP="004002DA">
            <w:pPr>
              <w:rPr>
                <w:rFonts w:eastAsia="Arial Narrow" w:cs="Arial"/>
                <w:sz w:val="20"/>
                <w:lang w:val="en-US"/>
              </w:rPr>
            </w:pPr>
            <w:r w:rsidRPr="00F12C3C">
              <w:rPr>
                <w:rFonts w:eastAsia="Arial Narrow" w:cs="Arial"/>
                <w:sz w:val="20"/>
                <w:lang w:val="en-US"/>
              </w:rPr>
              <w:t>Apply human rights principles throughout the lifecycle of the project in accordance to UNDP social and environmental overarching strategy</w:t>
            </w:r>
          </w:p>
          <w:p w14:paraId="192623B9" w14:textId="77777777" w:rsidR="004002DA" w:rsidRPr="00F12C3C" w:rsidRDefault="004002DA" w:rsidP="004002DA">
            <w:pPr>
              <w:rPr>
                <w:rFonts w:eastAsia="Arial Narrow" w:cs="Arial"/>
                <w:sz w:val="20"/>
                <w:lang w:val="en-US"/>
              </w:rPr>
            </w:pPr>
            <w:r w:rsidRPr="00F12C3C">
              <w:rPr>
                <w:rFonts w:eastAsia="Arial Narrow" w:cs="Arial"/>
                <w:sz w:val="20"/>
                <w:lang w:val="en-US"/>
              </w:rPr>
              <w:t xml:space="preserve">Advocacy and awareness plan are in place  </w:t>
            </w:r>
          </w:p>
        </w:tc>
        <w:tc>
          <w:tcPr>
            <w:tcW w:w="1742" w:type="dxa"/>
            <w:shd w:val="clear" w:color="auto" w:fill="auto"/>
          </w:tcPr>
          <w:p w14:paraId="67352614" w14:textId="77777777" w:rsidR="004002DA" w:rsidRPr="0041504B" w:rsidRDefault="004002DA" w:rsidP="004002DA">
            <w:pPr>
              <w:rPr>
                <w:rFonts w:asciiTheme="minorBidi" w:eastAsia="Arial Narrow" w:hAnsiTheme="minorBidi" w:cstheme="minorBidi"/>
                <w:b/>
                <w:sz w:val="16"/>
                <w:szCs w:val="16"/>
              </w:rPr>
            </w:pPr>
            <w:r w:rsidRPr="0041504B">
              <w:rPr>
                <w:rFonts w:asciiTheme="minorBidi" w:eastAsia="Arial Narrow" w:hAnsiTheme="minorBidi" w:cstheme="minorBidi"/>
                <w:b/>
                <w:sz w:val="16"/>
                <w:szCs w:val="16"/>
              </w:rPr>
              <w:t>high</w:t>
            </w:r>
          </w:p>
        </w:tc>
      </w:tr>
      <w:tr w:rsidR="004002DA" w:rsidRPr="0041504B" w14:paraId="21FA3B67" w14:textId="77777777" w:rsidTr="004002DA">
        <w:tc>
          <w:tcPr>
            <w:tcW w:w="1919" w:type="dxa"/>
            <w:shd w:val="clear" w:color="auto" w:fill="auto"/>
          </w:tcPr>
          <w:p w14:paraId="6D4400C6" w14:textId="77777777" w:rsidR="004002DA" w:rsidRPr="00F12C3C" w:rsidRDefault="004002DA" w:rsidP="004002DA">
            <w:pPr>
              <w:rPr>
                <w:rFonts w:eastAsia="Arial Narrow" w:cs="Arial"/>
                <w:sz w:val="20"/>
                <w:lang w:val="en-US"/>
              </w:rPr>
            </w:pPr>
            <w:r w:rsidRPr="00F12C3C">
              <w:rPr>
                <w:rFonts w:eastAsia="Arial Narrow" w:cs="Arial"/>
                <w:sz w:val="20"/>
                <w:lang w:val="en-US"/>
              </w:rPr>
              <w:t>Negative impact on women’s rights and gender equality]</w:t>
            </w:r>
          </w:p>
        </w:tc>
        <w:tc>
          <w:tcPr>
            <w:tcW w:w="1486" w:type="dxa"/>
            <w:shd w:val="clear" w:color="auto" w:fill="auto"/>
          </w:tcPr>
          <w:p w14:paraId="64DEAC94" w14:textId="77777777" w:rsidR="004002DA" w:rsidRPr="00F12C3C" w:rsidRDefault="004002DA" w:rsidP="004002DA">
            <w:pPr>
              <w:rPr>
                <w:rFonts w:eastAsia="Arial Narrow" w:cs="Arial"/>
                <w:b/>
                <w:sz w:val="20"/>
              </w:rPr>
            </w:pPr>
            <w:r w:rsidRPr="00F12C3C">
              <w:rPr>
                <w:rFonts w:eastAsia="Arial Narrow" w:cs="Arial"/>
                <w:b/>
                <w:sz w:val="20"/>
              </w:rPr>
              <w:t>low</w:t>
            </w:r>
          </w:p>
          <w:p w14:paraId="4D8FA552" w14:textId="77777777" w:rsidR="004002DA" w:rsidRPr="00F12C3C" w:rsidRDefault="004002DA" w:rsidP="004002DA">
            <w:pPr>
              <w:rPr>
                <w:rFonts w:eastAsia="Arial Narrow" w:cs="Arial"/>
                <w:b/>
                <w:sz w:val="20"/>
              </w:rPr>
            </w:pPr>
          </w:p>
        </w:tc>
        <w:tc>
          <w:tcPr>
            <w:tcW w:w="4500" w:type="dxa"/>
            <w:shd w:val="clear" w:color="auto" w:fill="auto"/>
          </w:tcPr>
          <w:p w14:paraId="1AC628C9" w14:textId="77777777" w:rsidR="004002DA" w:rsidRPr="00F12C3C" w:rsidRDefault="004002DA" w:rsidP="004002DA">
            <w:pPr>
              <w:rPr>
                <w:rFonts w:eastAsia="Arial Narrow" w:cs="Arial"/>
                <w:sz w:val="20"/>
                <w:lang w:val="en-US"/>
              </w:rPr>
            </w:pPr>
            <w:r w:rsidRPr="00F12C3C">
              <w:rPr>
                <w:rFonts w:eastAsia="Arial Narrow" w:cs="Arial"/>
                <w:sz w:val="20"/>
                <w:lang w:val="en-US"/>
              </w:rPr>
              <w:t>Adopt UNDP strategy for women’s rights/ empowerment and gender equality.</w:t>
            </w:r>
          </w:p>
          <w:p w14:paraId="3F17735F" w14:textId="77777777" w:rsidR="004002DA" w:rsidRPr="00F12C3C" w:rsidRDefault="004002DA" w:rsidP="004002DA">
            <w:pPr>
              <w:rPr>
                <w:rFonts w:eastAsia="Arial Narrow" w:cs="Arial"/>
                <w:sz w:val="20"/>
                <w:lang w:val="en-US"/>
              </w:rPr>
            </w:pPr>
            <w:r w:rsidRPr="00F12C3C">
              <w:rPr>
                <w:rFonts w:eastAsia="Arial Narrow" w:cs="Arial"/>
                <w:sz w:val="20"/>
                <w:lang w:val="en-US"/>
              </w:rPr>
              <w:t>Advocacy and awareness plan are in place</w:t>
            </w:r>
          </w:p>
        </w:tc>
        <w:tc>
          <w:tcPr>
            <w:tcW w:w="1742" w:type="dxa"/>
            <w:shd w:val="clear" w:color="auto" w:fill="auto"/>
          </w:tcPr>
          <w:p w14:paraId="01B1E0E0" w14:textId="77777777" w:rsidR="004002DA" w:rsidRPr="0041504B" w:rsidRDefault="004002DA" w:rsidP="004002DA">
            <w:pPr>
              <w:rPr>
                <w:rFonts w:asciiTheme="minorBidi" w:eastAsia="Arial Narrow" w:hAnsiTheme="minorBidi" w:cstheme="minorBidi"/>
                <w:b/>
                <w:sz w:val="16"/>
                <w:szCs w:val="16"/>
              </w:rPr>
            </w:pPr>
            <w:r w:rsidRPr="0041504B">
              <w:rPr>
                <w:rFonts w:asciiTheme="minorBidi" w:eastAsia="Arial Narrow" w:hAnsiTheme="minorBidi" w:cstheme="minorBidi"/>
                <w:b/>
                <w:sz w:val="16"/>
                <w:szCs w:val="16"/>
              </w:rPr>
              <w:t>high</w:t>
            </w:r>
          </w:p>
          <w:p w14:paraId="200CB14B" w14:textId="77777777" w:rsidR="004002DA" w:rsidRPr="0041504B" w:rsidRDefault="004002DA" w:rsidP="004002DA">
            <w:pPr>
              <w:rPr>
                <w:rFonts w:asciiTheme="minorBidi" w:eastAsia="Arial Narrow" w:hAnsiTheme="minorBidi" w:cstheme="minorBidi"/>
                <w:b/>
                <w:sz w:val="16"/>
                <w:szCs w:val="16"/>
              </w:rPr>
            </w:pPr>
          </w:p>
        </w:tc>
      </w:tr>
      <w:tr w:rsidR="004002DA" w:rsidRPr="0041504B" w14:paraId="5D5D396E" w14:textId="77777777" w:rsidTr="004002DA">
        <w:tc>
          <w:tcPr>
            <w:tcW w:w="1919" w:type="dxa"/>
            <w:shd w:val="clear" w:color="auto" w:fill="auto"/>
          </w:tcPr>
          <w:p w14:paraId="17C5AEE5" w14:textId="77777777" w:rsidR="004002DA" w:rsidRPr="00F12C3C" w:rsidRDefault="004002DA" w:rsidP="004002DA">
            <w:pPr>
              <w:rPr>
                <w:rFonts w:eastAsia="Arial Narrow" w:cs="Arial"/>
                <w:sz w:val="20"/>
                <w:lang w:val="en-US"/>
              </w:rPr>
            </w:pPr>
            <w:r w:rsidRPr="00F12C3C">
              <w:rPr>
                <w:rFonts w:eastAsia="Arial Narrow" w:cs="Arial"/>
                <w:sz w:val="20"/>
                <w:lang w:val="en-US"/>
              </w:rPr>
              <w:t>Negative impact on climate/social/ environment</w:t>
            </w:r>
          </w:p>
        </w:tc>
        <w:tc>
          <w:tcPr>
            <w:tcW w:w="1486" w:type="dxa"/>
            <w:shd w:val="clear" w:color="auto" w:fill="auto"/>
          </w:tcPr>
          <w:p w14:paraId="15D33DD1" w14:textId="77777777" w:rsidR="004002DA" w:rsidRPr="00F12C3C" w:rsidRDefault="004002DA" w:rsidP="004002DA">
            <w:pPr>
              <w:rPr>
                <w:rFonts w:eastAsia="Arial Narrow" w:cs="Arial"/>
                <w:b/>
                <w:sz w:val="20"/>
              </w:rPr>
            </w:pPr>
            <w:r w:rsidRPr="00F12C3C">
              <w:rPr>
                <w:rFonts w:eastAsia="Arial Narrow" w:cs="Arial"/>
                <w:b/>
                <w:bCs/>
                <w:sz w:val="20"/>
              </w:rPr>
              <w:t>low</w:t>
            </w:r>
          </w:p>
        </w:tc>
        <w:tc>
          <w:tcPr>
            <w:tcW w:w="4500" w:type="dxa"/>
            <w:shd w:val="clear" w:color="auto" w:fill="auto"/>
          </w:tcPr>
          <w:p w14:paraId="63F73E5C" w14:textId="77777777" w:rsidR="004002DA" w:rsidRPr="00F12C3C" w:rsidRDefault="004002DA" w:rsidP="004002DA">
            <w:pPr>
              <w:rPr>
                <w:rFonts w:eastAsia="Arial Narrow" w:cs="Arial"/>
                <w:sz w:val="20"/>
                <w:lang w:val="en-US"/>
              </w:rPr>
            </w:pPr>
            <w:r w:rsidRPr="00F12C3C">
              <w:rPr>
                <w:rFonts w:eastAsia="Arial Narrow" w:cs="Arial"/>
                <w:sz w:val="20"/>
                <w:lang w:val="en-US"/>
              </w:rPr>
              <w:t>Apply Social/ Environment Safeguards (ESMP), environment coping mechanisms throughout the lifecycle of the project in accordance to UNDP social and Environmental overarching strategy</w:t>
            </w:r>
          </w:p>
          <w:p w14:paraId="1F203B8C" w14:textId="77777777" w:rsidR="004002DA" w:rsidRPr="00F12C3C" w:rsidRDefault="004002DA" w:rsidP="004002DA">
            <w:pPr>
              <w:rPr>
                <w:rFonts w:eastAsia="Arial Narrow" w:cs="Arial"/>
                <w:sz w:val="20"/>
                <w:lang w:val="en-US"/>
              </w:rPr>
            </w:pPr>
            <w:r w:rsidRPr="00F12C3C">
              <w:rPr>
                <w:rFonts w:eastAsia="Arial Narrow" w:cs="Arial"/>
                <w:sz w:val="20"/>
                <w:lang w:val="en-US"/>
              </w:rPr>
              <w:t>Follow and implement the local environment rules and regulations</w:t>
            </w:r>
          </w:p>
          <w:p w14:paraId="32992175" w14:textId="77777777" w:rsidR="004002DA" w:rsidRPr="00F12C3C" w:rsidRDefault="004002DA" w:rsidP="004002DA">
            <w:pPr>
              <w:rPr>
                <w:rFonts w:eastAsia="Arial Narrow" w:cs="Arial"/>
                <w:sz w:val="20"/>
                <w:lang w:val="en-US"/>
              </w:rPr>
            </w:pPr>
            <w:r w:rsidRPr="00F12C3C">
              <w:rPr>
                <w:rFonts w:eastAsia="Arial Narrow" w:cs="Arial"/>
                <w:sz w:val="20"/>
                <w:lang w:val="en-US"/>
              </w:rPr>
              <w:lastRenderedPageBreak/>
              <w:t>Promote the deployment of green and sustainable infrastructure</w:t>
            </w:r>
          </w:p>
          <w:p w14:paraId="37A556CD" w14:textId="77777777" w:rsidR="004002DA" w:rsidRPr="00F12C3C" w:rsidRDefault="004002DA" w:rsidP="004002DA">
            <w:pPr>
              <w:spacing w:line="259" w:lineRule="auto"/>
              <w:rPr>
                <w:rFonts w:eastAsia="Arial Narrow" w:cs="Arial"/>
                <w:sz w:val="20"/>
                <w:lang w:val="en-US"/>
              </w:rPr>
            </w:pPr>
            <w:r w:rsidRPr="00F12C3C">
              <w:rPr>
                <w:rFonts w:eastAsia="Arial Narrow" w:cs="Arial"/>
                <w:sz w:val="20"/>
                <w:lang w:val="en-US"/>
              </w:rPr>
              <w:t xml:space="preserve">UNDP will inform stakeholders of the grievance mechanism available at the local and corporate level  </w:t>
            </w:r>
          </w:p>
        </w:tc>
        <w:tc>
          <w:tcPr>
            <w:tcW w:w="1742" w:type="dxa"/>
            <w:shd w:val="clear" w:color="auto" w:fill="auto"/>
          </w:tcPr>
          <w:p w14:paraId="5CFFD362" w14:textId="77777777" w:rsidR="004002DA" w:rsidRPr="0041504B" w:rsidRDefault="004002DA" w:rsidP="004002DA">
            <w:pPr>
              <w:rPr>
                <w:rFonts w:asciiTheme="minorBidi" w:eastAsia="Arial Narrow" w:hAnsiTheme="minorBidi" w:cstheme="minorBidi"/>
                <w:b/>
                <w:sz w:val="16"/>
                <w:szCs w:val="16"/>
              </w:rPr>
            </w:pPr>
            <w:r w:rsidRPr="0041504B">
              <w:rPr>
                <w:rFonts w:asciiTheme="minorBidi" w:eastAsia="Arial Narrow" w:hAnsiTheme="minorBidi" w:cstheme="minorBidi"/>
                <w:b/>
                <w:sz w:val="16"/>
                <w:szCs w:val="16"/>
              </w:rPr>
              <w:lastRenderedPageBreak/>
              <w:t>high</w:t>
            </w:r>
          </w:p>
        </w:tc>
      </w:tr>
      <w:tr w:rsidR="004002DA" w:rsidRPr="006F767C" w14:paraId="3BC00E24" w14:textId="77777777" w:rsidTr="004002DA">
        <w:tc>
          <w:tcPr>
            <w:tcW w:w="9647" w:type="dxa"/>
            <w:gridSpan w:val="4"/>
            <w:shd w:val="clear" w:color="auto" w:fill="auto"/>
          </w:tcPr>
          <w:p w14:paraId="5C712134" w14:textId="77777777" w:rsidR="004002DA" w:rsidRDefault="004002DA" w:rsidP="004002DA">
            <w:pPr>
              <w:rPr>
                <w:rFonts w:cs="Arial"/>
                <w:sz w:val="20"/>
                <w:lang w:val="en-US"/>
              </w:rPr>
            </w:pPr>
            <w:r w:rsidRPr="00F12C3C">
              <w:rPr>
                <w:rFonts w:cs="Arial"/>
                <w:b/>
                <w:sz w:val="20"/>
                <w:lang w:val="en-US"/>
              </w:rPr>
              <w:t xml:space="preserve">Institutional risks: </w:t>
            </w:r>
            <w:r w:rsidRPr="00F12C3C">
              <w:rPr>
                <w:rFonts w:cs="Arial"/>
                <w:sz w:val="20"/>
                <w:lang w:val="en-US"/>
              </w:rPr>
              <w:t>Risks to the Fund/ Implementing Partner, e.g. security, fiduciary failure, reputational loss, domestic political damage.</w:t>
            </w:r>
          </w:p>
          <w:p w14:paraId="7B13A579" w14:textId="77777777" w:rsidR="006F767C" w:rsidRPr="00F12C3C" w:rsidRDefault="006F767C" w:rsidP="004002DA">
            <w:pPr>
              <w:rPr>
                <w:rFonts w:cs="Arial"/>
                <w:b/>
                <w:sz w:val="20"/>
                <w:lang w:val="en-US"/>
              </w:rPr>
            </w:pPr>
          </w:p>
        </w:tc>
      </w:tr>
      <w:tr w:rsidR="004002DA" w:rsidRPr="0041504B" w14:paraId="564763B6" w14:textId="77777777" w:rsidTr="004002DA">
        <w:tc>
          <w:tcPr>
            <w:tcW w:w="1919" w:type="dxa"/>
            <w:shd w:val="clear" w:color="auto" w:fill="auto"/>
          </w:tcPr>
          <w:p w14:paraId="51EB463B" w14:textId="77777777" w:rsidR="004002DA" w:rsidRPr="00F12C3C" w:rsidRDefault="004002DA" w:rsidP="004002DA">
            <w:pPr>
              <w:rPr>
                <w:rFonts w:cs="Arial"/>
                <w:sz w:val="20"/>
                <w:lang w:val="en-US"/>
              </w:rPr>
            </w:pPr>
            <w:r w:rsidRPr="00F12C3C">
              <w:rPr>
                <w:rFonts w:eastAsia="Arial Narrow" w:cs="Arial"/>
                <w:sz w:val="20"/>
                <w:lang w:val="en-US"/>
              </w:rPr>
              <w:t>UNDP’s implementing partners under threat / pressure from Israeli authorities</w:t>
            </w:r>
          </w:p>
        </w:tc>
        <w:tc>
          <w:tcPr>
            <w:tcW w:w="1486" w:type="dxa"/>
            <w:shd w:val="clear" w:color="auto" w:fill="auto"/>
          </w:tcPr>
          <w:p w14:paraId="49F22664" w14:textId="77777777" w:rsidR="004002DA" w:rsidRPr="00F12C3C" w:rsidRDefault="004002DA" w:rsidP="004002DA">
            <w:pPr>
              <w:rPr>
                <w:rFonts w:cs="Arial"/>
                <w:b/>
                <w:sz w:val="20"/>
              </w:rPr>
            </w:pPr>
            <w:r w:rsidRPr="00F12C3C">
              <w:rPr>
                <w:rFonts w:cs="Arial"/>
                <w:b/>
                <w:sz w:val="20"/>
              </w:rPr>
              <w:t>medium</w:t>
            </w:r>
          </w:p>
          <w:p w14:paraId="69B7A5D0" w14:textId="77777777" w:rsidR="004002DA" w:rsidRPr="00F12C3C" w:rsidRDefault="004002DA" w:rsidP="004002DA">
            <w:pPr>
              <w:rPr>
                <w:rFonts w:cs="Arial"/>
                <w:b/>
                <w:sz w:val="20"/>
              </w:rPr>
            </w:pPr>
          </w:p>
        </w:tc>
        <w:tc>
          <w:tcPr>
            <w:tcW w:w="4500" w:type="dxa"/>
            <w:shd w:val="clear" w:color="auto" w:fill="auto"/>
          </w:tcPr>
          <w:p w14:paraId="45611473" w14:textId="77777777" w:rsidR="004002DA" w:rsidRPr="00F12C3C" w:rsidRDefault="004002DA" w:rsidP="004002DA">
            <w:pPr>
              <w:rPr>
                <w:rFonts w:cs="Arial"/>
                <w:sz w:val="20"/>
                <w:lang w:val="en-US"/>
              </w:rPr>
            </w:pPr>
            <w:r w:rsidRPr="00F12C3C">
              <w:rPr>
                <w:rFonts w:eastAsia="Arial Narrow" w:cs="Arial"/>
                <w:sz w:val="20"/>
                <w:lang w:val="en-US"/>
              </w:rPr>
              <w:t xml:space="preserve">UN, Government of Palestine, Donor pressure on Israeli authorities  </w:t>
            </w:r>
          </w:p>
          <w:p w14:paraId="385A4B3B" w14:textId="77777777" w:rsidR="004002DA" w:rsidRPr="00F12C3C" w:rsidRDefault="004002DA" w:rsidP="004002DA">
            <w:pPr>
              <w:rPr>
                <w:rFonts w:cs="Arial"/>
                <w:sz w:val="20"/>
                <w:lang w:val="en-US"/>
              </w:rPr>
            </w:pPr>
            <w:r w:rsidRPr="00F12C3C">
              <w:rPr>
                <w:rFonts w:eastAsia="Arial Narrow" w:cs="Arial"/>
                <w:sz w:val="20"/>
                <w:lang w:val="en-US"/>
              </w:rPr>
              <w:t>Advocacy by local partners and UN in coordination with Protection Cluster Working Group</w:t>
            </w:r>
          </w:p>
          <w:p w14:paraId="7B04ECE6" w14:textId="77777777" w:rsidR="004002DA" w:rsidRPr="00F12C3C" w:rsidRDefault="004002DA" w:rsidP="004002DA">
            <w:pPr>
              <w:rPr>
                <w:rFonts w:cs="Arial"/>
                <w:sz w:val="20"/>
                <w:lang w:val="en-US"/>
              </w:rPr>
            </w:pPr>
          </w:p>
        </w:tc>
        <w:tc>
          <w:tcPr>
            <w:tcW w:w="1742" w:type="dxa"/>
            <w:shd w:val="clear" w:color="auto" w:fill="auto"/>
          </w:tcPr>
          <w:p w14:paraId="070124ED" w14:textId="77777777" w:rsidR="004002DA" w:rsidRPr="0041504B" w:rsidRDefault="004002DA" w:rsidP="004002DA">
            <w:pPr>
              <w:rPr>
                <w:rFonts w:asciiTheme="minorBidi" w:hAnsiTheme="minorBidi" w:cstheme="minorBidi"/>
                <w:b/>
                <w:sz w:val="16"/>
                <w:szCs w:val="16"/>
              </w:rPr>
            </w:pPr>
            <w:r w:rsidRPr="0041504B">
              <w:rPr>
                <w:rFonts w:asciiTheme="minorBidi" w:hAnsiTheme="minorBidi" w:cstheme="minorBidi"/>
                <w:b/>
                <w:sz w:val="16"/>
                <w:szCs w:val="16"/>
              </w:rPr>
              <w:t>medium</w:t>
            </w:r>
          </w:p>
          <w:p w14:paraId="51F244D4" w14:textId="77777777" w:rsidR="004002DA" w:rsidRPr="0041504B" w:rsidRDefault="004002DA" w:rsidP="004002DA">
            <w:pPr>
              <w:rPr>
                <w:rFonts w:asciiTheme="minorBidi" w:hAnsiTheme="minorBidi" w:cstheme="minorBidi"/>
                <w:b/>
                <w:sz w:val="18"/>
                <w:szCs w:val="18"/>
              </w:rPr>
            </w:pPr>
          </w:p>
        </w:tc>
      </w:tr>
      <w:tr w:rsidR="004002DA" w:rsidRPr="0041504B" w14:paraId="1B97A0AB" w14:textId="77777777" w:rsidTr="004002DA">
        <w:tc>
          <w:tcPr>
            <w:tcW w:w="1919" w:type="dxa"/>
            <w:shd w:val="clear" w:color="auto" w:fill="auto"/>
          </w:tcPr>
          <w:p w14:paraId="0BC93023" w14:textId="77777777" w:rsidR="004002DA" w:rsidRPr="00F12C3C" w:rsidRDefault="004002DA" w:rsidP="004002DA">
            <w:pPr>
              <w:rPr>
                <w:rFonts w:eastAsia="Arial Narrow" w:cs="Arial"/>
                <w:sz w:val="20"/>
                <w:lang w:val="en-US"/>
              </w:rPr>
            </w:pPr>
            <w:r w:rsidRPr="00F12C3C">
              <w:rPr>
                <w:rFonts w:eastAsia="Arial Narrow" w:cs="Arial"/>
                <w:sz w:val="20"/>
                <w:lang w:val="en-US"/>
              </w:rPr>
              <w:t>Poor implementation and process problems by IPs such as procurement</w:t>
            </w:r>
          </w:p>
          <w:p w14:paraId="40485B39" w14:textId="77777777" w:rsidR="004002DA" w:rsidRPr="00F12C3C" w:rsidRDefault="004002DA" w:rsidP="004002DA">
            <w:pPr>
              <w:rPr>
                <w:rFonts w:cs="Arial"/>
                <w:sz w:val="20"/>
                <w:lang w:val="en-US"/>
              </w:rPr>
            </w:pPr>
          </w:p>
        </w:tc>
        <w:tc>
          <w:tcPr>
            <w:tcW w:w="1486" w:type="dxa"/>
            <w:shd w:val="clear" w:color="auto" w:fill="auto"/>
          </w:tcPr>
          <w:p w14:paraId="32E06F80" w14:textId="77777777" w:rsidR="004002DA" w:rsidRPr="00F12C3C" w:rsidRDefault="004002DA" w:rsidP="004002DA">
            <w:pPr>
              <w:rPr>
                <w:rFonts w:cs="Arial"/>
                <w:b/>
                <w:sz w:val="20"/>
              </w:rPr>
            </w:pPr>
            <w:r w:rsidRPr="00F12C3C">
              <w:rPr>
                <w:rFonts w:cs="Arial"/>
                <w:b/>
                <w:sz w:val="20"/>
              </w:rPr>
              <w:t>low</w:t>
            </w:r>
          </w:p>
        </w:tc>
        <w:tc>
          <w:tcPr>
            <w:tcW w:w="4500" w:type="dxa"/>
            <w:shd w:val="clear" w:color="auto" w:fill="auto"/>
          </w:tcPr>
          <w:p w14:paraId="67225A83" w14:textId="77777777" w:rsidR="004002DA" w:rsidRPr="00F12C3C" w:rsidRDefault="004002DA" w:rsidP="004002DA">
            <w:pPr>
              <w:rPr>
                <w:rFonts w:cs="Arial"/>
                <w:sz w:val="20"/>
                <w:lang w:val="en-US"/>
              </w:rPr>
            </w:pPr>
            <w:r w:rsidRPr="00F12C3C">
              <w:rPr>
                <w:rFonts w:cs="Arial"/>
                <w:sz w:val="20"/>
                <w:lang w:val="en-US"/>
              </w:rPr>
              <w:t>UNDP team will be involved closely in the procurement process and provide training to increase the capacity of the counterpart</w:t>
            </w:r>
          </w:p>
          <w:p w14:paraId="2BF74BB4" w14:textId="77777777" w:rsidR="004002DA" w:rsidRPr="00F12C3C" w:rsidRDefault="004002DA" w:rsidP="004002DA">
            <w:pPr>
              <w:rPr>
                <w:rFonts w:cs="Arial"/>
                <w:sz w:val="20"/>
                <w:lang w:val="en-US"/>
              </w:rPr>
            </w:pPr>
            <w:r w:rsidRPr="00F12C3C">
              <w:rPr>
                <w:rFonts w:cs="Arial"/>
                <w:sz w:val="20"/>
                <w:lang w:val="en-US"/>
              </w:rPr>
              <w:t>UNDP will participate in supervising the works daily and will keep tracking the time schedule in cooperation with the counterpart</w:t>
            </w:r>
          </w:p>
          <w:p w14:paraId="491FF263" w14:textId="77777777" w:rsidR="004002DA" w:rsidRPr="00F12C3C" w:rsidRDefault="004002DA" w:rsidP="004002DA">
            <w:pPr>
              <w:rPr>
                <w:rFonts w:cs="Arial"/>
                <w:sz w:val="20"/>
              </w:rPr>
            </w:pPr>
            <w:r w:rsidRPr="00F12C3C">
              <w:rPr>
                <w:rFonts w:cs="Arial"/>
                <w:sz w:val="20"/>
              </w:rPr>
              <w:t>HACT modalities are applied</w:t>
            </w:r>
          </w:p>
        </w:tc>
        <w:tc>
          <w:tcPr>
            <w:tcW w:w="1742" w:type="dxa"/>
            <w:shd w:val="clear" w:color="auto" w:fill="auto"/>
          </w:tcPr>
          <w:p w14:paraId="69A28A11" w14:textId="77777777" w:rsidR="004002DA" w:rsidRPr="0041504B" w:rsidRDefault="004002DA" w:rsidP="004002DA">
            <w:pPr>
              <w:rPr>
                <w:rFonts w:asciiTheme="minorBidi" w:hAnsiTheme="minorBidi" w:cstheme="minorBidi"/>
                <w:b/>
                <w:sz w:val="16"/>
                <w:szCs w:val="16"/>
              </w:rPr>
            </w:pPr>
            <w:r w:rsidRPr="0041504B">
              <w:rPr>
                <w:rFonts w:asciiTheme="minorBidi" w:hAnsiTheme="minorBidi" w:cstheme="minorBidi"/>
                <w:b/>
                <w:sz w:val="16"/>
                <w:szCs w:val="16"/>
              </w:rPr>
              <w:t>medium</w:t>
            </w:r>
          </w:p>
        </w:tc>
      </w:tr>
      <w:tr w:rsidR="004002DA" w:rsidRPr="0041504B" w14:paraId="32ABCCEE" w14:textId="77777777" w:rsidTr="004002DA">
        <w:tc>
          <w:tcPr>
            <w:tcW w:w="1919" w:type="dxa"/>
            <w:shd w:val="clear" w:color="auto" w:fill="auto"/>
          </w:tcPr>
          <w:p w14:paraId="22FB8894" w14:textId="77777777" w:rsidR="004002DA" w:rsidRPr="00F12C3C" w:rsidRDefault="004002DA" w:rsidP="004002DA">
            <w:pPr>
              <w:rPr>
                <w:rFonts w:eastAsia="Arial Narrow" w:cs="Arial"/>
                <w:sz w:val="20"/>
              </w:rPr>
            </w:pPr>
            <w:r w:rsidRPr="00F12C3C">
              <w:rPr>
                <w:rFonts w:eastAsia="Arial Narrow" w:cs="Arial"/>
                <w:sz w:val="20"/>
              </w:rPr>
              <w:t>Exchange rate variability</w:t>
            </w:r>
          </w:p>
        </w:tc>
        <w:tc>
          <w:tcPr>
            <w:tcW w:w="1486" w:type="dxa"/>
            <w:shd w:val="clear" w:color="auto" w:fill="auto"/>
          </w:tcPr>
          <w:p w14:paraId="26B3620B" w14:textId="77777777" w:rsidR="004002DA" w:rsidRPr="00F12C3C" w:rsidRDefault="004002DA" w:rsidP="004002DA">
            <w:pPr>
              <w:rPr>
                <w:rFonts w:cs="Arial"/>
                <w:b/>
                <w:sz w:val="20"/>
              </w:rPr>
            </w:pPr>
            <w:r w:rsidRPr="00F12C3C">
              <w:rPr>
                <w:rFonts w:cs="Arial"/>
                <w:b/>
                <w:sz w:val="20"/>
              </w:rPr>
              <w:t>medium</w:t>
            </w:r>
          </w:p>
        </w:tc>
        <w:tc>
          <w:tcPr>
            <w:tcW w:w="4500" w:type="dxa"/>
            <w:shd w:val="clear" w:color="auto" w:fill="auto"/>
          </w:tcPr>
          <w:p w14:paraId="4AC51663" w14:textId="77777777" w:rsidR="004002DA" w:rsidRPr="00F12C3C" w:rsidRDefault="004002DA" w:rsidP="004002DA">
            <w:pPr>
              <w:rPr>
                <w:rFonts w:cs="Arial"/>
                <w:sz w:val="20"/>
                <w:lang w:val="en-US"/>
              </w:rPr>
            </w:pPr>
            <w:r w:rsidRPr="00F12C3C">
              <w:rPr>
                <w:rFonts w:cs="Arial"/>
                <w:sz w:val="20"/>
                <w:lang w:val="en-US"/>
              </w:rPr>
              <w:t>Build in contingency/surplus of the grant is dedicated to face the problem if it occurs</w:t>
            </w:r>
          </w:p>
        </w:tc>
        <w:tc>
          <w:tcPr>
            <w:tcW w:w="1742" w:type="dxa"/>
            <w:shd w:val="clear" w:color="auto" w:fill="auto"/>
          </w:tcPr>
          <w:p w14:paraId="05F8BE5E" w14:textId="77777777" w:rsidR="004002DA" w:rsidRPr="0041504B" w:rsidRDefault="004002DA" w:rsidP="004002DA">
            <w:pPr>
              <w:rPr>
                <w:rFonts w:asciiTheme="minorBidi" w:hAnsiTheme="minorBidi" w:cstheme="minorBidi"/>
                <w:b/>
                <w:sz w:val="16"/>
                <w:szCs w:val="16"/>
              </w:rPr>
            </w:pPr>
            <w:r w:rsidRPr="0041504B">
              <w:rPr>
                <w:rFonts w:asciiTheme="minorBidi" w:hAnsiTheme="minorBidi" w:cstheme="minorBidi"/>
                <w:b/>
                <w:sz w:val="16"/>
                <w:szCs w:val="16"/>
              </w:rPr>
              <w:t>medium</w:t>
            </w:r>
          </w:p>
        </w:tc>
      </w:tr>
      <w:tr w:rsidR="004002DA" w:rsidRPr="0041504B" w14:paraId="46814976" w14:textId="77777777" w:rsidTr="004002DA">
        <w:tc>
          <w:tcPr>
            <w:tcW w:w="1919" w:type="dxa"/>
            <w:shd w:val="clear" w:color="auto" w:fill="auto"/>
          </w:tcPr>
          <w:p w14:paraId="03E18375" w14:textId="77777777" w:rsidR="004002DA" w:rsidRPr="00F12C3C" w:rsidRDefault="004002DA" w:rsidP="004002DA">
            <w:pPr>
              <w:rPr>
                <w:rFonts w:eastAsia="Arial Narrow" w:cs="Arial"/>
                <w:sz w:val="20"/>
                <w:lang w:val="en-US"/>
              </w:rPr>
            </w:pPr>
            <w:r w:rsidRPr="00F12C3C">
              <w:rPr>
                <w:rFonts w:eastAsia="Arial Narrow" w:cs="Arial"/>
                <w:sz w:val="20"/>
                <w:lang w:val="en-US"/>
              </w:rPr>
              <w:t>Cost risk, typically escalation of project costs due to poor cost estimating accuracy and scope creep</w:t>
            </w:r>
          </w:p>
        </w:tc>
        <w:tc>
          <w:tcPr>
            <w:tcW w:w="1486" w:type="dxa"/>
            <w:shd w:val="clear" w:color="auto" w:fill="auto"/>
          </w:tcPr>
          <w:p w14:paraId="7D7CCD6E" w14:textId="77777777" w:rsidR="004002DA" w:rsidRPr="00F12C3C" w:rsidRDefault="004002DA" w:rsidP="004002DA">
            <w:pPr>
              <w:rPr>
                <w:rFonts w:cs="Arial"/>
                <w:b/>
                <w:sz w:val="20"/>
              </w:rPr>
            </w:pPr>
            <w:r w:rsidRPr="00F12C3C">
              <w:rPr>
                <w:rFonts w:cs="Arial"/>
                <w:b/>
                <w:sz w:val="20"/>
              </w:rPr>
              <w:t>low</w:t>
            </w:r>
          </w:p>
        </w:tc>
        <w:tc>
          <w:tcPr>
            <w:tcW w:w="4500" w:type="dxa"/>
            <w:shd w:val="clear" w:color="auto" w:fill="auto"/>
          </w:tcPr>
          <w:p w14:paraId="37E2026D" w14:textId="77777777" w:rsidR="004002DA" w:rsidRPr="00F12C3C" w:rsidRDefault="004002DA" w:rsidP="004002DA">
            <w:pPr>
              <w:rPr>
                <w:rFonts w:cs="Arial"/>
                <w:sz w:val="20"/>
                <w:lang w:val="en-US"/>
              </w:rPr>
            </w:pPr>
            <w:r w:rsidRPr="00F12C3C">
              <w:rPr>
                <w:rFonts w:cs="Arial"/>
                <w:sz w:val="20"/>
                <w:lang w:val="en-US"/>
              </w:rPr>
              <w:t>The quantities and cost estimate will be calculated very accurate</w:t>
            </w:r>
          </w:p>
          <w:p w14:paraId="7483E709" w14:textId="77777777" w:rsidR="004002DA" w:rsidRPr="00F12C3C" w:rsidRDefault="004002DA" w:rsidP="004002DA">
            <w:pPr>
              <w:rPr>
                <w:rFonts w:cs="Arial"/>
                <w:sz w:val="20"/>
                <w:lang w:val="en-US"/>
              </w:rPr>
            </w:pPr>
            <w:r w:rsidRPr="00F12C3C">
              <w:rPr>
                <w:rFonts w:cs="Arial"/>
                <w:sz w:val="20"/>
                <w:lang w:val="en-US"/>
              </w:rPr>
              <w:t>The scope of work will be specified very strict and clear from the beginning of the work</w:t>
            </w:r>
          </w:p>
        </w:tc>
        <w:tc>
          <w:tcPr>
            <w:tcW w:w="1742" w:type="dxa"/>
            <w:shd w:val="clear" w:color="auto" w:fill="auto"/>
          </w:tcPr>
          <w:p w14:paraId="03434380" w14:textId="77777777" w:rsidR="004002DA" w:rsidRPr="0041504B" w:rsidRDefault="004002DA" w:rsidP="004002DA">
            <w:pPr>
              <w:rPr>
                <w:rFonts w:asciiTheme="minorBidi" w:hAnsiTheme="minorBidi" w:cstheme="minorBidi"/>
                <w:b/>
                <w:sz w:val="16"/>
                <w:szCs w:val="16"/>
              </w:rPr>
            </w:pPr>
            <w:r w:rsidRPr="0041504B">
              <w:rPr>
                <w:rFonts w:asciiTheme="minorBidi" w:hAnsiTheme="minorBidi" w:cstheme="minorBidi"/>
                <w:b/>
                <w:sz w:val="16"/>
                <w:szCs w:val="16"/>
              </w:rPr>
              <w:t>medium</w:t>
            </w:r>
          </w:p>
        </w:tc>
      </w:tr>
      <w:tr w:rsidR="004002DA" w:rsidRPr="0041504B" w14:paraId="175620ED" w14:textId="77777777" w:rsidTr="004002DA">
        <w:tc>
          <w:tcPr>
            <w:tcW w:w="1919" w:type="dxa"/>
            <w:shd w:val="clear" w:color="auto" w:fill="auto"/>
          </w:tcPr>
          <w:p w14:paraId="68EC040A" w14:textId="77777777" w:rsidR="004002DA" w:rsidRPr="00F12C3C" w:rsidRDefault="004002DA" w:rsidP="004002DA">
            <w:pPr>
              <w:rPr>
                <w:rFonts w:eastAsia="Arial Narrow" w:cs="Arial"/>
                <w:sz w:val="20"/>
                <w:lang w:val="en-US"/>
              </w:rPr>
            </w:pPr>
            <w:r w:rsidRPr="00F12C3C">
              <w:rPr>
                <w:rFonts w:eastAsia="Arial Narrow" w:cs="Arial"/>
                <w:sz w:val="20"/>
                <w:lang w:val="en-US"/>
              </w:rPr>
              <w:t>Lack of IP experience to operate and maintain the project</w:t>
            </w:r>
          </w:p>
          <w:p w14:paraId="4163F21D" w14:textId="77777777" w:rsidR="004002DA" w:rsidRPr="00F12C3C" w:rsidRDefault="004002DA" w:rsidP="004002DA">
            <w:pPr>
              <w:rPr>
                <w:rFonts w:eastAsia="Arial Narrow" w:cs="Arial"/>
                <w:sz w:val="20"/>
                <w:lang w:val="en-US"/>
              </w:rPr>
            </w:pPr>
          </w:p>
        </w:tc>
        <w:tc>
          <w:tcPr>
            <w:tcW w:w="1486" w:type="dxa"/>
            <w:shd w:val="clear" w:color="auto" w:fill="auto"/>
          </w:tcPr>
          <w:p w14:paraId="324C0D64" w14:textId="77777777" w:rsidR="004002DA" w:rsidRPr="00F12C3C" w:rsidRDefault="004002DA" w:rsidP="004002DA">
            <w:pPr>
              <w:rPr>
                <w:rFonts w:eastAsia="Arial Narrow" w:cs="Arial"/>
                <w:b/>
                <w:sz w:val="20"/>
              </w:rPr>
            </w:pPr>
            <w:r w:rsidRPr="00F12C3C">
              <w:rPr>
                <w:rFonts w:eastAsia="Arial Narrow" w:cs="Arial"/>
                <w:b/>
                <w:sz w:val="20"/>
              </w:rPr>
              <w:t>low</w:t>
            </w:r>
          </w:p>
        </w:tc>
        <w:tc>
          <w:tcPr>
            <w:tcW w:w="4500" w:type="dxa"/>
            <w:shd w:val="clear" w:color="auto" w:fill="auto"/>
          </w:tcPr>
          <w:p w14:paraId="2AAA7A6A" w14:textId="77777777" w:rsidR="004002DA" w:rsidRPr="00F12C3C" w:rsidRDefault="004002DA" w:rsidP="004002DA">
            <w:pPr>
              <w:rPr>
                <w:rFonts w:eastAsia="Arial Narrow" w:cs="Arial"/>
                <w:sz w:val="20"/>
                <w:lang w:val="en-US"/>
              </w:rPr>
            </w:pPr>
            <w:r w:rsidRPr="00F12C3C">
              <w:rPr>
                <w:rFonts w:eastAsia="Arial Narrow" w:cs="Arial"/>
                <w:sz w:val="20"/>
                <w:lang w:val="en-US"/>
              </w:rPr>
              <w:t>Accurate selection of partners based on their strength, UNDP is to follow up with the partner the furnishing and equipping the project, continuous and close monitoring for the projects to ensure functionality as planned</w:t>
            </w:r>
          </w:p>
        </w:tc>
        <w:tc>
          <w:tcPr>
            <w:tcW w:w="1742" w:type="dxa"/>
            <w:shd w:val="clear" w:color="auto" w:fill="auto"/>
          </w:tcPr>
          <w:p w14:paraId="6926FA1D" w14:textId="77777777" w:rsidR="004002DA" w:rsidRPr="0041504B" w:rsidRDefault="004002DA" w:rsidP="004002DA">
            <w:pPr>
              <w:rPr>
                <w:rFonts w:asciiTheme="minorBidi" w:eastAsia="Arial Narrow" w:hAnsiTheme="minorBidi" w:cstheme="minorBidi"/>
                <w:b/>
                <w:sz w:val="16"/>
                <w:szCs w:val="16"/>
              </w:rPr>
            </w:pPr>
            <w:r w:rsidRPr="0041504B">
              <w:rPr>
                <w:rFonts w:asciiTheme="minorBidi" w:eastAsia="Arial Narrow" w:hAnsiTheme="minorBidi" w:cstheme="minorBidi"/>
                <w:b/>
                <w:sz w:val="16"/>
                <w:szCs w:val="16"/>
              </w:rPr>
              <w:t>high</w:t>
            </w:r>
          </w:p>
        </w:tc>
      </w:tr>
      <w:tr w:rsidR="004002DA" w:rsidRPr="0041504B" w14:paraId="1374B3FE" w14:textId="77777777" w:rsidTr="004002DA">
        <w:tc>
          <w:tcPr>
            <w:tcW w:w="1919" w:type="dxa"/>
            <w:shd w:val="clear" w:color="auto" w:fill="auto"/>
          </w:tcPr>
          <w:p w14:paraId="5E39D746" w14:textId="77777777" w:rsidR="004002DA" w:rsidRPr="00F12C3C" w:rsidRDefault="004002DA" w:rsidP="004002DA">
            <w:pPr>
              <w:rPr>
                <w:rFonts w:eastAsia="Arial Narrow" w:cs="Arial"/>
                <w:sz w:val="20"/>
                <w:lang w:val="en-US"/>
              </w:rPr>
            </w:pPr>
            <w:r w:rsidRPr="00F12C3C">
              <w:rPr>
                <w:rFonts w:eastAsia="Arial Narrow" w:cs="Arial"/>
                <w:sz w:val="20"/>
                <w:lang w:val="en-US"/>
              </w:rPr>
              <w:t>Negative impact on anti-corruption</w:t>
            </w:r>
          </w:p>
        </w:tc>
        <w:tc>
          <w:tcPr>
            <w:tcW w:w="1486" w:type="dxa"/>
            <w:shd w:val="clear" w:color="auto" w:fill="auto"/>
          </w:tcPr>
          <w:p w14:paraId="6C047497" w14:textId="77777777" w:rsidR="004002DA" w:rsidRPr="00F12C3C" w:rsidRDefault="004002DA" w:rsidP="004002DA">
            <w:pPr>
              <w:rPr>
                <w:rFonts w:eastAsia="Arial Narrow" w:cs="Arial"/>
                <w:b/>
                <w:sz w:val="20"/>
              </w:rPr>
            </w:pPr>
            <w:r w:rsidRPr="00F12C3C">
              <w:rPr>
                <w:rFonts w:eastAsia="Arial Narrow" w:cs="Arial"/>
                <w:b/>
                <w:sz w:val="20"/>
              </w:rPr>
              <w:t>low</w:t>
            </w:r>
          </w:p>
        </w:tc>
        <w:tc>
          <w:tcPr>
            <w:tcW w:w="4500" w:type="dxa"/>
            <w:shd w:val="clear" w:color="auto" w:fill="auto"/>
          </w:tcPr>
          <w:p w14:paraId="01F9AEBC" w14:textId="77777777" w:rsidR="004002DA" w:rsidRPr="00F12C3C" w:rsidRDefault="004002DA" w:rsidP="004002DA">
            <w:pPr>
              <w:rPr>
                <w:rFonts w:eastAsia="Arial Narrow" w:cs="Arial"/>
                <w:sz w:val="20"/>
                <w:lang w:val="en-US"/>
              </w:rPr>
            </w:pPr>
            <w:r w:rsidRPr="00F12C3C">
              <w:rPr>
                <w:rFonts w:eastAsia="Arial Narrow" w:cs="Arial"/>
                <w:sz w:val="20"/>
                <w:lang w:val="en-US"/>
              </w:rPr>
              <w:t xml:space="preserve">Fully follow and implement UNDP rules and regulation.   </w:t>
            </w:r>
          </w:p>
          <w:p w14:paraId="62B108BC" w14:textId="77777777" w:rsidR="004002DA" w:rsidRPr="00F12C3C" w:rsidRDefault="004002DA" w:rsidP="004002DA">
            <w:pPr>
              <w:rPr>
                <w:rFonts w:eastAsia="Arial Narrow" w:cs="Arial"/>
                <w:sz w:val="20"/>
                <w:lang w:val="en-US"/>
              </w:rPr>
            </w:pPr>
            <w:r w:rsidRPr="00F12C3C">
              <w:rPr>
                <w:rFonts w:eastAsia="Arial Narrow" w:cs="Arial"/>
                <w:sz w:val="20"/>
                <w:lang w:val="en-US"/>
              </w:rPr>
              <w:lastRenderedPageBreak/>
              <w:t>Implementation of Audit in line with UNDP procedures</w:t>
            </w:r>
          </w:p>
          <w:p w14:paraId="3CA8F51B" w14:textId="77777777" w:rsidR="004002DA" w:rsidRPr="00F12C3C" w:rsidRDefault="004002DA" w:rsidP="004002DA">
            <w:pPr>
              <w:rPr>
                <w:rFonts w:eastAsia="Arial Narrow" w:cs="Arial"/>
                <w:sz w:val="20"/>
                <w:lang w:val="en-US"/>
              </w:rPr>
            </w:pPr>
            <w:r w:rsidRPr="00F12C3C">
              <w:rPr>
                <w:rFonts w:eastAsia="Arial Narrow" w:cs="Arial"/>
                <w:sz w:val="20"/>
                <w:lang w:val="en-US"/>
              </w:rPr>
              <w:t>Funding of national partners according to UNDP financial rules and regulations</w:t>
            </w:r>
          </w:p>
          <w:p w14:paraId="38CFF15D" w14:textId="77777777" w:rsidR="004002DA" w:rsidRPr="00F12C3C" w:rsidRDefault="004002DA" w:rsidP="004002DA">
            <w:pPr>
              <w:rPr>
                <w:rFonts w:eastAsia="Arial Narrow" w:cs="Arial"/>
                <w:sz w:val="20"/>
                <w:lang w:val="en-US"/>
              </w:rPr>
            </w:pPr>
            <w:r w:rsidRPr="00F12C3C">
              <w:rPr>
                <w:rFonts w:eastAsia="Arial Narrow" w:cs="Arial"/>
                <w:sz w:val="20"/>
                <w:lang w:val="en-US"/>
              </w:rPr>
              <w:t>Legal steps against misuses of funding</w:t>
            </w:r>
          </w:p>
          <w:p w14:paraId="1C6B4D7C" w14:textId="77777777" w:rsidR="004002DA" w:rsidRPr="00F12C3C" w:rsidRDefault="004002DA" w:rsidP="004002DA">
            <w:pPr>
              <w:rPr>
                <w:rFonts w:eastAsia="Arial Narrow" w:cs="Arial"/>
                <w:sz w:val="20"/>
                <w:lang w:val="en-US"/>
              </w:rPr>
            </w:pPr>
            <w:r w:rsidRPr="00F12C3C">
              <w:rPr>
                <w:rFonts w:eastAsia="Arial Narrow" w:cs="Arial"/>
                <w:sz w:val="20"/>
                <w:lang w:val="en-US"/>
              </w:rPr>
              <w:t>Liaison with governmental and non-governmental anti-corruption institutions</w:t>
            </w:r>
          </w:p>
          <w:p w14:paraId="5B885993" w14:textId="77777777" w:rsidR="004002DA" w:rsidRPr="00F12C3C" w:rsidRDefault="004002DA" w:rsidP="004002DA">
            <w:pPr>
              <w:rPr>
                <w:rFonts w:eastAsia="Arial Narrow" w:cs="Arial"/>
                <w:sz w:val="20"/>
                <w:lang w:val="en-US"/>
              </w:rPr>
            </w:pPr>
            <w:r w:rsidRPr="00F12C3C">
              <w:rPr>
                <w:rFonts w:eastAsia="Arial Narrow" w:cs="Arial"/>
                <w:sz w:val="20"/>
                <w:lang w:val="en-US"/>
              </w:rPr>
              <w:t>Proper selection of implementing partners based on capacities and experience</w:t>
            </w:r>
          </w:p>
        </w:tc>
        <w:tc>
          <w:tcPr>
            <w:tcW w:w="1742" w:type="dxa"/>
            <w:shd w:val="clear" w:color="auto" w:fill="auto"/>
          </w:tcPr>
          <w:p w14:paraId="18E139D7" w14:textId="77777777" w:rsidR="004002DA" w:rsidRPr="0041504B" w:rsidRDefault="004002DA" w:rsidP="004002DA">
            <w:pPr>
              <w:rPr>
                <w:rFonts w:asciiTheme="minorBidi" w:eastAsia="Arial Narrow" w:hAnsiTheme="minorBidi" w:cstheme="minorBidi"/>
                <w:b/>
                <w:sz w:val="16"/>
                <w:szCs w:val="16"/>
              </w:rPr>
            </w:pPr>
            <w:r w:rsidRPr="0041504B">
              <w:rPr>
                <w:rFonts w:asciiTheme="minorBidi" w:eastAsia="Arial Narrow" w:hAnsiTheme="minorBidi" w:cstheme="minorBidi"/>
                <w:b/>
                <w:sz w:val="16"/>
                <w:szCs w:val="16"/>
              </w:rPr>
              <w:lastRenderedPageBreak/>
              <w:t>high</w:t>
            </w:r>
          </w:p>
        </w:tc>
      </w:tr>
      <w:tr w:rsidR="004002DA" w:rsidRPr="0041504B" w14:paraId="2C0418FA" w14:textId="77777777" w:rsidTr="004002DA">
        <w:tc>
          <w:tcPr>
            <w:tcW w:w="1919" w:type="dxa"/>
            <w:shd w:val="clear" w:color="auto" w:fill="auto"/>
          </w:tcPr>
          <w:p w14:paraId="7F29C44D" w14:textId="77777777" w:rsidR="004002DA" w:rsidRPr="00F12C3C" w:rsidRDefault="004002DA" w:rsidP="004002DA">
            <w:pPr>
              <w:rPr>
                <w:rFonts w:eastAsia="Arial Narrow" w:cs="Arial"/>
                <w:sz w:val="20"/>
                <w:lang w:val="en-US"/>
              </w:rPr>
            </w:pPr>
            <w:r w:rsidRPr="00F12C3C">
              <w:rPr>
                <w:rFonts w:eastAsia="Arial Narrow" w:cs="Arial"/>
                <w:sz w:val="20"/>
                <w:lang w:val="en-US"/>
              </w:rPr>
              <w:t>Negative impact on medical waste management</w:t>
            </w:r>
          </w:p>
        </w:tc>
        <w:tc>
          <w:tcPr>
            <w:tcW w:w="1486" w:type="dxa"/>
            <w:shd w:val="clear" w:color="auto" w:fill="auto"/>
          </w:tcPr>
          <w:p w14:paraId="005CC48C" w14:textId="77777777" w:rsidR="004002DA" w:rsidRPr="00F12C3C" w:rsidRDefault="004002DA" w:rsidP="004002DA">
            <w:pPr>
              <w:rPr>
                <w:rFonts w:eastAsia="Arial Narrow" w:cs="Arial"/>
                <w:b/>
                <w:sz w:val="20"/>
              </w:rPr>
            </w:pPr>
            <w:r w:rsidRPr="00F12C3C">
              <w:rPr>
                <w:rFonts w:eastAsia="Arial Narrow" w:cs="Arial"/>
                <w:b/>
                <w:bCs/>
                <w:sz w:val="20"/>
              </w:rPr>
              <w:t>low</w:t>
            </w:r>
          </w:p>
        </w:tc>
        <w:tc>
          <w:tcPr>
            <w:tcW w:w="4500" w:type="dxa"/>
            <w:shd w:val="clear" w:color="auto" w:fill="auto"/>
          </w:tcPr>
          <w:p w14:paraId="01ECEB08" w14:textId="77777777" w:rsidR="004002DA" w:rsidRPr="00F12C3C" w:rsidRDefault="004002DA" w:rsidP="004002DA">
            <w:pPr>
              <w:rPr>
                <w:rFonts w:eastAsia="Arial Narrow" w:cs="Arial"/>
                <w:sz w:val="20"/>
                <w:lang w:val="en-US"/>
              </w:rPr>
            </w:pPr>
            <w:r w:rsidRPr="00F12C3C">
              <w:rPr>
                <w:rFonts w:eastAsia="Arial Narrow" w:cs="Arial"/>
                <w:sz w:val="20"/>
                <w:lang w:val="en-US"/>
              </w:rPr>
              <w:t>The whole medical waste management process will be provided by trained staff and carried out in line with the MoH policy</w:t>
            </w:r>
          </w:p>
          <w:p w14:paraId="79013FE9" w14:textId="77777777" w:rsidR="004002DA" w:rsidRPr="00F12C3C" w:rsidRDefault="004002DA" w:rsidP="004002DA">
            <w:pPr>
              <w:rPr>
                <w:rFonts w:eastAsia="Arial Narrow" w:cs="Arial"/>
                <w:sz w:val="20"/>
                <w:lang w:val="en-US"/>
              </w:rPr>
            </w:pPr>
            <w:r w:rsidRPr="00F12C3C">
              <w:rPr>
                <w:rFonts w:eastAsia="Arial Narrow" w:cs="Arial"/>
                <w:sz w:val="20"/>
                <w:lang w:val="en-US"/>
              </w:rPr>
              <w:t>Trainings for health workers in managing medical waste in accordance with the existing regulations and best practices will take place</w:t>
            </w:r>
          </w:p>
          <w:p w14:paraId="3FFDCA17" w14:textId="77777777" w:rsidR="004002DA" w:rsidRPr="00F12C3C" w:rsidRDefault="004002DA" w:rsidP="004002DA">
            <w:pPr>
              <w:rPr>
                <w:rFonts w:eastAsia="Arial Narrow" w:cs="Arial"/>
                <w:sz w:val="20"/>
                <w:lang w:val="en-US"/>
              </w:rPr>
            </w:pPr>
            <w:r w:rsidRPr="00F12C3C">
              <w:rPr>
                <w:rFonts w:eastAsia="Arial Narrow" w:cs="Arial"/>
                <w:sz w:val="20"/>
                <w:lang w:val="en-US"/>
              </w:rPr>
              <w:t>Partnerships with institutions own experience in the field will be explored, especially with INGO’s financed by MBZ (PTB)</w:t>
            </w:r>
          </w:p>
        </w:tc>
        <w:tc>
          <w:tcPr>
            <w:tcW w:w="1742" w:type="dxa"/>
            <w:shd w:val="clear" w:color="auto" w:fill="auto"/>
          </w:tcPr>
          <w:p w14:paraId="063EA31C" w14:textId="77777777" w:rsidR="004002DA" w:rsidRPr="0041504B" w:rsidRDefault="004002DA" w:rsidP="004002DA">
            <w:pPr>
              <w:rPr>
                <w:rFonts w:asciiTheme="minorBidi" w:eastAsia="Arial Narrow" w:hAnsiTheme="minorBidi" w:cstheme="minorBidi"/>
                <w:b/>
                <w:sz w:val="16"/>
                <w:szCs w:val="16"/>
              </w:rPr>
            </w:pPr>
            <w:r w:rsidRPr="0041504B">
              <w:rPr>
                <w:rFonts w:asciiTheme="minorBidi" w:eastAsia="Arial Narrow" w:hAnsiTheme="minorBidi" w:cstheme="minorBidi"/>
                <w:b/>
                <w:bCs/>
                <w:sz w:val="16"/>
                <w:szCs w:val="16"/>
              </w:rPr>
              <w:t>high</w:t>
            </w:r>
          </w:p>
        </w:tc>
      </w:tr>
      <w:tr w:rsidR="004002DA" w:rsidRPr="006F767C" w14:paraId="70955491" w14:textId="77777777" w:rsidTr="004002DA">
        <w:tc>
          <w:tcPr>
            <w:tcW w:w="9647" w:type="dxa"/>
            <w:gridSpan w:val="4"/>
            <w:shd w:val="clear" w:color="auto" w:fill="auto"/>
          </w:tcPr>
          <w:p w14:paraId="343F0451" w14:textId="77777777" w:rsidR="004002DA" w:rsidRPr="00F12C3C" w:rsidRDefault="004002DA" w:rsidP="004002DA">
            <w:pPr>
              <w:rPr>
                <w:rFonts w:cs="Arial"/>
                <w:b/>
                <w:sz w:val="20"/>
                <w:lang w:val="en-US"/>
              </w:rPr>
            </w:pPr>
            <w:r w:rsidRPr="00F12C3C">
              <w:rPr>
                <w:rFonts w:cs="Arial"/>
                <w:b/>
                <w:sz w:val="20"/>
                <w:lang w:val="en-US"/>
              </w:rPr>
              <w:t xml:space="preserve">Risk to staff security </w:t>
            </w:r>
            <w:r w:rsidRPr="00F12C3C">
              <w:rPr>
                <w:rFonts w:cs="Arial"/>
                <w:sz w:val="20"/>
                <w:lang w:val="en-US"/>
              </w:rPr>
              <w:t>Risk of Project staff being killed, abducted, injured or otherwise harmed by working in a hazardous environment.</w:t>
            </w:r>
          </w:p>
        </w:tc>
      </w:tr>
      <w:tr w:rsidR="004002DA" w:rsidRPr="0041504B" w14:paraId="785553C6" w14:textId="77777777" w:rsidTr="004002DA">
        <w:tc>
          <w:tcPr>
            <w:tcW w:w="1919" w:type="dxa"/>
            <w:shd w:val="clear" w:color="auto" w:fill="auto"/>
          </w:tcPr>
          <w:p w14:paraId="2BDA20E9" w14:textId="77777777" w:rsidR="004002DA" w:rsidRPr="00F12C3C" w:rsidRDefault="004002DA" w:rsidP="004002DA">
            <w:pPr>
              <w:rPr>
                <w:rFonts w:eastAsia="Arial Narrow" w:cs="Arial"/>
                <w:sz w:val="20"/>
                <w:lang w:val="en-US"/>
              </w:rPr>
            </w:pPr>
            <w:r w:rsidRPr="00F12C3C">
              <w:rPr>
                <w:rFonts w:eastAsia="Arial Narrow" w:cs="Arial"/>
                <w:sz w:val="20"/>
                <w:lang w:val="en-US"/>
              </w:rPr>
              <w:t>Security threats of staff movement in critical areas, notably, Area C, East Jerusalem, H2 Hebron and seam zones</w:t>
            </w:r>
          </w:p>
          <w:p w14:paraId="6A2D4337" w14:textId="77777777" w:rsidR="004002DA" w:rsidRPr="00F12C3C" w:rsidRDefault="004002DA" w:rsidP="004002DA">
            <w:pPr>
              <w:rPr>
                <w:rFonts w:eastAsia="Arial Narrow" w:cs="Arial"/>
                <w:sz w:val="20"/>
                <w:lang w:val="en-US"/>
              </w:rPr>
            </w:pPr>
          </w:p>
        </w:tc>
        <w:tc>
          <w:tcPr>
            <w:tcW w:w="1486" w:type="dxa"/>
            <w:shd w:val="clear" w:color="auto" w:fill="auto"/>
          </w:tcPr>
          <w:p w14:paraId="65787423" w14:textId="77777777" w:rsidR="004002DA" w:rsidRPr="00F12C3C" w:rsidRDefault="004002DA" w:rsidP="004002DA">
            <w:pPr>
              <w:rPr>
                <w:rFonts w:eastAsia="Arial Narrow" w:cs="Arial"/>
                <w:b/>
                <w:sz w:val="20"/>
              </w:rPr>
            </w:pPr>
            <w:r w:rsidRPr="00F12C3C">
              <w:rPr>
                <w:rFonts w:eastAsia="Arial Narrow" w:cs="Arial"/>
                <w:b/>
                <w:bCs/>
                <w:sz w:val="20"/>
              </w:rPr>
              <w:t>Low</w:t>
            </w:r>
          </w:p>
        </w:tc>
        <w:tc>
          <w:tcPr>
            <w:tcW w:w="4500" w:type="dxa"/>
            <w:shd w:val="clear" w:color="auto" w:fill="auto"/>
          </w:tcPr>
          <w:p w14:paraId="590C56C7" w14:textId="77777777" w:rsidR="004002DA" w:rsidRPr="00F12C3C" w:rsidRDefault="004002DA" w:rsidP="004002DA">
            <w:pPr>
              <w:rPr>
                <w:rFonts w:eastAsia="Arial Narrow" w:cs="Arial"/>
                <w:sz w:val="20"/>
                <w:lang w:val="en-US"/>
              </w:rPr>
            </w:pPr>
            <w:r w:rsidRPr="00F12C3C">
              <w:rPr>
                <w:rFonts w:eastAsia="Arial Narrow" w:cs="Arial"/>
                <w:sz w:val="20"/>
                <w:lang w:val="en-US"/>
              </w:rPr>
              <w:t>The project is linked with overall UNDP risk management plan for staff and implementation</w:t>
            </w:r>
          </w:p>
          <w:p w14:paraId="4969F7FE" w14:textId="77777777" w:rsidR="004002DA" w:rsidRPr="00F12C3C" w:rsidRDefault="004002DA" w:rsidP="004002DA">
            <w:pPr>
              <w:rPr>
                <w:rFonts w:eastAsia="Arial Narrow" w:cs="Arial"/>
                <w:sz w:val="20"/>
                <w:lang w:val="en-US"/>
              </w:rPr>
            </w:pPr>
            <w:r w:rsidRPr="00F12C3C">
              <w:rPr>
                <w:rFonts w:eastAsia="Arial Narrow" w:cs="Arial"/>
                <w:sz w:val="20"/>
                <w:lang w:val="en-US"/>
              </w:rPr>
              <w:t>Staff wellbeing and safety are both key priority for UNDP, staff security is monitored by the existing systems of UNDP and UNDSS</w:t>
            </w:r>
          </w:p>
          <w:p w14:paraId="015BB41A" w14:textId="77777777" w:rsidR="004002DA" w:rsidRPr="00F12C3C" w:rsidRDefault="004002DA" w:rsidP="004002DA">
            <w:pPr>
              <w:rPr>
                <w:rFonts w:eastAsia="Arial Narrow" w:cs="Arial"/>
                <w:sz w:val="20"/>
                <w:lang w:val="en-US"/>
              </w:rPr>
            </w:pPr>
            <w:r w:rsidRPr="00F12C3C">
              <w:rPr>
                <w:rFonts w:eastAsia="Arial Narrow" w:cs="Arial"/>
                <w:sz w:val="20"/>
                <w:lang w:val="en-US"/>
              </w:rPr>
              <w:t>Potential threats will be managed in line with the institutional mitigation measures</w:t>
            </w:r>
          </w:p>
        </w:tc>
        <w:tc>
          <w:tcPr>
            <w:tcW w:w="1742" w:type="dxa"/>
            <w:shd w:val="clear" w:color="auto" w:fill="auto"/>
          </w:tcPr>
          <w:p w14:paraId="36190158" w14:textId="77777777" w:rsidR="004002DA" w:rsidRPr="0041504B" w:rsidRDefault="004002DA" w:rsidP="004002DA">
            <w:pPr>
              <w:rPr>
                <w:rFonts w:asciiTheme="minorBidi" w:eastAsia="Arial Narrow" w:hAnsiTheme="minorBidi" w:cstheme="minorBidi"/>
                <w:b/>
                <w:sz w:val="16"/>
                <w:szCs w:val="16"/>
              </w:rPr>
            </w:pPr>
            <w:r w:rsidRPr="0041504B">
              <w:rPr>
                <w:rFonts w:asciiTheme="minorBidi" w:eastAsia="Arial Narrow" w:hAnsiTheme="minorBidi" w:cstheme="minorBidi"/>
                <w:b/>
                <w:bCs/>
                <w:sz w:val="16"/>
                <w:szCs w:val="16"/>
              </w:rPr>
              <w:t>high</w:t>
            </w:r>
          </w:p>
        </w:tc>
      </w:tr>
    </w:tbl>
    <w:p w14:paraId="7C7BD12E" w14:textId="77777777" w:rsidR="004002DA" w:rsidRPr="00F12C3C" w:rsidRDefault="004002DA" w:rsidP="004002DA">
      <w:pPr>
        <w:spacing w:before="240" w:after="120"/>
        <w:rPr>
          <w:rFonts w:cs="Arial"/>
          <w:b/>
          <w:bCs/>
          <w:sz w:val="20"/>
          <w:highlight w:val="yellow"/>
        </w:rPr>
      </w:pPr>
      <w:r w:rsidRPr="00F12C3C">
        <w:rPr>
          <w:rFonts w:cs="Arial"/>
          <w:b/>
          <w:bCs/>
          <w:sz w:val="20"/>
        </w:rPr>
        <w:t xml:space="preserve">Stakeholders Engagement: </w:t>
      </w:r>
    </w:p>
    <w:p w14:paraId="3514D476" w14:textId="77777777" w:rsidR="004002DA" w:rsidRPr="00F12C3C" w:rsidRDefault="004002DA" w:rsidP="004002DA">
      <w:pPr>
        <w:spacing w:before="120" w:after="120"/>
        <w:rPr>
          <w:rFonts w:cs="Arial"/>
          <w:sz w:val="20"/>
          <w:lang w:val="en-US"/>
        </w:rPr>
      </w:pPr>
      <w:r w:rsidRPr="00F12C3C">
        <w:rPr>
          <w:rFonts w:cs="Arial"/>
          <w:sz w:val="20"/>
          <w:lang w:val="en-US"/>
        </w:rPr>
        <w:t xml:space="preserve">60.  Stakeholders include beneficiaries (as described under the beneficiaries section above),  partners (as described in the partnerships section above) as well those who will be engaged in the implementation of various components of the project (including those described under sustainability, operations and maintenance section below).  </w:t>
      </w:r>
    </w:p>
    <w:p w14:paraId="7B278B5B" w14:textId="77777777" w:rsidR="004002DA" w:rsidRPr="00F12C3C" w:rsidRDefault="004002DA" w:rsidP="004002DA">
      <w:pPr>
        <w:spacing w:before="120" w:after="120"/>
        <w:rPr>
          <w:rFonts w:cs="Arial"/>
          <w:sz w:val="20"/>
          <w:lang w:val="en-US"/>
        </w:rPr>
      </w:pPr>
      <w:r w:rsidRPr="00F12C3C">
        <w:rPr>
          <w:rFonts w:cs="Arial"/>
          <w:sz w:val="20"/>
          <w:lang w:val="en-US"/>
        </w:rPr>
        <w:t xml:space="preserve">61.  UNDP will develop and implement a grievance mechanism in line with the global policy, which is accessible to the </w:t>
      </w:r>
      <w:proofErr w:type="gramStart"/>
      <w:r w:rsidRPr="00F12C3C">
        <w:rPr>
          <w:rFonts w:cs="Arial"/>
          <w:sz w:val="20"/>
          <w:lang w:val="en-US"/>
        </w:rPr>
        <w:t>general public</w:t>
      </w:r>
      <w:proofErr w:type="gramEnd"/>
      <w:r w:rsidRPr="00F12C3C">
        <w:rPr>
          <w:rFonts w:cs="Arial"/>
          <w:sz w:val="20"/>
          <w:lang w:val="en-US"/>
        </w:rPr>
        <w:t xml:space="preserve"> and in particular to people affected by and/or and engaged in the project activities. </w:t>
      </w:r>
    </w:p>
    <w:p w14:paraId="371A0FC1" w14:textId="77777777" w:rsidR="004002DA" w:rsidRPr="00F12C3C" w:rsidRDefault="004002DA" w:rsidP="004002DA">
      <w:pPr>
        <w:spacing w:before="240" w:after="120"/>
        <w:rPr>
          <w:rFonts w:cs="Arial"/>
          <w:iCs/>
          <w:sz w:val="20"/>
          <w:lang w:val="en-US"/>
        </w:rPr>
      </w:pPr>
      <w:r w:rsidRPr="00F12C3C">
        <w:rPr>
          <w:rFonts w:cs="Arial"/>
          <w:b/>
          <w:iCs/>
          <w:sz w:val="20"/>
          <w:lang w:val="en-US"/>
        </w:rPr>
        <w:t xml:space="preserve">Knowledge: </w:t>
      </w:r>
    </w:p>
    <w:p w14:paraId="7DDB35F4" w14:textId="77777777" w:rsidR="004002DA" w:rsidRPr="00F12C3C" w:rsidRDefault="004002DA" w:rsidP="004002DA">
      <w:pPr>
        <w:spacing w:before="240"/>
        <w:rPr>
          <w:rFonts w:cs="Arial"/>
          <w:sz w:val="20"/>
          <w:lang w:val="en-US"/>
        </w:rPr>
      </w:pPr>
      <w:r w:rsidRPr="00F12C3C">
        <w:rPr>
          <w:rFonts w:cs="Arial"/>
          <w:sz w:val="20"/>
          <w:lang w:val="en-US"/>
        </w:rPr>
        <w:lastRenderedPageBreak/>
        <w:t>62.  The IPR is an opportunity to further test the Transformative Resilience approach and explore methodologies for strengthening and measuring community resilience – particularly Outcome 2. As such, knowledge generation and sharing are critical throughout the project cycle. Lessons learnt (including successes and failures), and human-interest stories will be produced and shared through different channels and online platforms such as ArcGIS (including social media, fact sheets, etc.). Moreover, in addition to the evaluation report, an evaluation brief (2 pager) will be produced outlining achievements, approach, challenges and lessons learnt coming out from the evaluation. The knowledge products will also support the government providing evidence-based research to support the policy direction of investment in resilience in the Palestinian Territory.</w:t>
      </w:r>
    </w:p>
    <w:p w14:paraId="5DB1BF7C" w14:textId="77777777" w:rsidR="004002DA" w:rsidRPr="00F12C3C" w:rsidRDefault="004002DA" w:rsidP="004002DA">
      <w:pPr>
        <w:spacing w:before="240"/>
        <w:rPr>
          <w:rFonts w:cs="Arial"/>
          <w:b/>
          <w:bCs/>
          <w:sz w:val="20"/>
          <w:lang w:val="en-US"/>
        </w:rPr>
      </w:pPr>
      <w:r w:rsidRPr="00F12C3C">
        <w:rPr>
          <w:rFonts w:cs="Arial"/>
          <w:b/>
          <w:bCs/>
          <w:sz w:val="20"/>
          <w:lang w:val="en-US"/>
        </w:rPr>
        <w:t>Sustainability including for Operation and Maintenance, Scaling Up:</w:t>
      </w:r>
    </w:p>
    <w:p w14:paraId="070BDCFB" w14:textId="77777777" w:rsidR="004002DA" w:rsidRPr="00F12C3C" w:rsidRDefault="004002DA" w:rsidP="004002DA">
      <w:pPr>
        <w:rPr>
          <w:rFonts w:cs="Arial"/>
          <w:sz w:val="20"/>
          <w:lang w:val="en-US"/>
        </w:rPr>
      </w:pPr>
      <w:r w:rsidRPr="00F12C3C">
        <w:rPr>
          <w:rFonts w:cs="Arial"/>
          <w:sz w:val="20"/>
          <w:lang w:val="en-US"/>
        </w:rPr>
        <w:t xml:space="preserve">63. The sustainability and scaling up of the IPR interventions will be addressed at the programme level, as well as the level of specific interventions (e.g. medical waste management) and specific groups/entities, NGO/CSO. </w:t>
      </w:r>
    </w:p>
    <w:p w14:paraId="6D292FFE" w14:textId="77777777" w:rsidR="004002DA" w:rsidRPr="00F12C3C" w:rsidRDefault="004002DA" w:rsidP="004002DA">
      <w:pPr>
        <w:rPr>
          <w:rFonts w:cs="Arial"/>
          <w:sz w:val="20"/>
          <w:lang w:val="en-US"/>
        </w:rPr>
      </w:pPr>
    </w:p>
    <w:p w14:paraId="602326EC" w14:textId="77777777" w:rsidR="004002DA" w:rsidRPr="00F12C3C" w:rsidRDefault="004002DA" w:rsidP="004002DA">
      <w:pPr>
        <w:rPr>
          <w:rFonts w:eastAsia="Arial" w:cs="Arial"/>
          <w:sz w:val="20"/>
          <w:lang w:val="en-US"/>
        </w:rPr>
      </w:pPr>
      <w:r w:rsidRPr="00F12C3C">
        <w:rPr>
          <w:rFonts w:cs="Arial"/>
          <w:sz w:val="20"/>
          <w:lang w:val="en-US"/>
        </w:rPr>
        <w:t>64. At the programme level, the approach is to ensure that interventions are well aligned with and embedded into the overall national / local strategy, and the IPR supports the strengthening of key institutional partners who are responsible for the specific area.  For example, under outcome 1 focused on health systems, the key partner would be MoH, and activities under this intervention will incorporate support in identifying priority areas in collaboration with WHO, as well as training and placement of staff, whether it be on health services delivery, or medical waste management.  Moreover, the intervention related to medical waste management will be well embedded in the</w:t>
      </w:r>
      <w:r w:rsidRPr="00F12C3C">
        <w:rPr>
          <w:rFonts w:eastAsia="Arial" w:cs="Arial"/>
          <w:sz w:val="20"/>
          <w:lang w:val="en-US"/>
        </w:rPr>
        <w:t xml:space="preserve"> institutional structures, policy framework, and standard operating procedures for treatment of healthcare waste which was established by the </w:t>
      </w:r>
      <w:proofErr w:type="spellStart"/>
      <w:r w:rsidRPr="00F12C3C">
        <w:rPr>
          <w:rFonts w:eastAsia="Arial" w:cs="Arial"/>
          <w:sz w:val="20"/>
          <w:lang w:val="en-US"/>
        </w:rPr>
        <w:t>GoP</w:t>
      </w:r>
      <w:proofErr w:type="spellEnd"/>
      <w:r w:rsidRPr="00F12C3C">
        <w:rPr>
          <w:rFonts w:eastAsia="Arial" w:cs="Arial"/>
          <w:sz w:val="20"/>
          <w:lang w:val="en-US"/>
        </w:rPr>
        <w:t xml:space="preserve"> with UNDP support and Japanese funding.  Specifically, within Gaza, UNDP has supported the installation of autoclaves in the COVID-19 designated European Hospital, and secured funding from Japan, OCHA and Norway to install additional autoclaves throughout the Gaza Strip, as well as two microwaves to serve the North/Gaza and South. The support will include measures to strengthen the operational sustainability of the services offered to the MoH by the Gaza and North Joint Service Council on Solid Waste. Institutional arrangements such as Steering Committees for solid waste will also be used as a decision-making mechanism.  </w:t>
      </w:r>
    </w:p>
    <w:p w14:paraId="3F990B1E" w14:textId="77777777" w:rsidR="004002DA" w:rsidRPr="00F12C3C" w:rsidRDefault="004002DA" w:rsidP="004002DA">
      <w:pPr>
        <w:rPr>
          <w:rFonts w:eastAsia="Arial" w:cs="Arial"/>
          <w:sz w:val="20"/>
          <w:lang w:val="en-US"/>
        </w:rPr>
      </w:pPr>
    </w:p>
    <w:p w14:paraId="6D4C6080" w14:textId="77777777" w:rsidR="004002DA" w:rsidRPr="00F12C3C" w:rsidRDefault="004002DA" w:rsidP="004002DA">
      <w:pPr>
        <w:rPr>
          <w:rFonts w:eastAsia="Arial" w:cs="Arial"/>
          <w:sz w:val="20"/>
          <w:lang w:val="en-US"/>
        </w:rPr>
      </w:pPr>
      <w:r w:rsidRPr="00F12C3C">
        <w:rPr>
          <w:rFonts w:eastAsia="Arial" w:cs="Arial"/>
          <w:sz w:val="20"/>
          <w:lang w:val="en-US"/>
        </w:rPr>
        <w:t>65. Under Outcome 2 focused on community resilience, a key factor for the community infrastructure component would be the selection of NGOs/CBOs that have the capacity not only to design and implement the sub-projects, but to operate and maintain the facilities and ensure optimal usage of the facility and provide continuous services. They will need to demonstrate their ability to do so, for example through the submission of a service plan or operations/maintenance plan in order to be selected and will be given technical support during project implementation to strengthen their capacities. This will focus on issues such as improving operational efficiencies, revenue collection and management, and overall competitiveness and sustainability.</w:t>
      </w:r>
    </w:p>
    <w:p w14:paraId="261F1034" w14:textId="77777777" w:rsidR="004002DA" w:rsidRPr="00F12C3C" w:rsidRDefault="004002DA" w:rsidP="002A6590">
      <w:pPr>
        <w:pStyle w:val="Heading1"/>
        <w:keepNext/>
        <w:numPr>
          <w:ilvl w:val="0"/>
          <w:numId w:val="27"/>
        </w:numPr>
        <w:pBdr>
          <w:top w:val="single" w:sz="4" w:space="0" w:color="auto"/>
        </w:pBdr>
        <w:suppressAutoHyphens/>
        <w:spacing w:after="226" w:line="240" w:lineRule="auto"/>
        <w:jc w:val="both"/>
        <w:rPr>
          <w:rFonts w:cs="Arial"/>
          <w:sz w:val="20"/>
          <w:lang w:val="fr-CA"/>
        </w:rPr>
      </w:pPr>
      <w:bookmarkStart w:id="19" w:name="_Toc22304426"/>
      <w:bookmarkStart w:id="20" w:name="_Toc22540834"/>
      <w:bookmarkStart w:id="21" w:name="_Toc22541350"/>
      <w:bookmarkStart w:id="22" w:name="_Toc48809749"/>
      <w:r w:rsidRPr="00F12C3C">
        <w:rPr>
          <w:rFonts w:cs="Arial"/>
          <w:sz w:val="20"/>
          <w:lang w:val="fr-CA"/>
        </w:rPr>
        <w:lastRenderedPageBreak/>
        <w:t>Project Management</w:t>
      </w:r>
      <w:bookmarkEnd w:id="19"/>
      <w:bookmarkEnd w:id="20"/>
      <w:bookmarkEnd w:id="21"/>
      <w:bookmarkEnd w:id="22"/>
    </w:p>
    <w:p w14:paraId="10BD5E8E" w14:textId="77777777" w:rsidR="004002DA" w:rsidRPr="00F12C3C" w:rsidRDefault="004002DA" w:rsidP="004002DA">
      <w:pPr>
        <w:spacing w:before="120" w:after="120"/>
        <w:contextualSpacing/>
        <w:rPr>
          <w:rFonts w:cs="Arial"/>
          <w:iCs/>
          <w:sz w:val="20"/>
          <w:lang w:val="en-US"/>
        </w:rPr>
      </w:pPr>
      <w:r w:rsidRPr="00F12C3C">
        <w:rPr>
          <w:rFonts w:cs="Arial"/>
          <w:iCs/>
          <w:sz w:val="20"/>
          <w:lang w:val="en-US"/>
        </w:rPr>
        <w:t xml:space="preserve">66. IPR will be implemented through the Direct Implementation Modality (DIM) by UNDP, and it will be implemented under in partnership with the </w:t>
      </w:r>
      <w:proofErr w:type="spellStart"/>
      <w:r w:rsidRPr="00F12C3C">
        <w:rPr>
          <w:rFonts w:cs="Arial"/>
          <w:iCs/>
          <w:sz w:val="20"/>
          <w:lang w:val="en-US"/>
        </w:rPr>
        <w:t>GoP</w:t>
      </w:r>
      <w:proofErr w:type="spellEnd"/>
      <w:r w:rsidRPr="00F12C3C">
        <w:rPr>
          <w:rFonts w:cs="Arial"/>
          <w:iCs/>
          <w:sz w:val="20"/>
          <w:lang w:val="en-US"/>
        </w:rPr>
        <w:t xml:space="preserve">, </w:t>
      </w:r>
      <w:proofErr w:type="gramStart"/>
      <w:r w:rsidRPr="00F12C3C">
        <w:rPr>
          <w:rFonts w:cs="Arial"/>
          <w:iCs/>
          <w:sz w:val="20"/>
          <w:lang w:val="en-US"/>
        </w:rPr>
        <w:t>in particular the</w:t>
      </w:r>
      <w:proofErr w:type="gramEnd"/>
      <w:r w:rsidRPr="00F12C3C">
        <w:rPr>
          <w:rFonts w:cs="Arial"/>
          <w:iCs/>
          <w:sz w:val="20"/>
          <w:lang w:val="en-US"/>
        </w:rPr>
        <w:t xml:space="preserve"> Prime Minister’s Office. Coordination will be ensured with the UN and major governmental stakeholders and the donor community.</w:t>
      </w:r>
    </w:p>
    <w:p w14:paraId="4BE121E3" w14:textId="77777777" w:rsidR="004002DA" w:rsidRPr="00F12C3C" w:rsidRDefault="004002DA" w:rsidP="002A6590">
      <w:pPr>
        <w:pStyle w:val="LII-Text"/>
        <w:numPr>
          <w:ilvl w:val="0"/>
          <w:numId w:val="21"/>
        </w:numPr>
        <w:tabs>
          <w:tab w:val="clear" w:pos="709"/>
        </w:tabs>
        <w:spacing w:before="120" w:after="120" w:line="240" w:lineRule="auto"/>
        <w:rPr>
          <w:rFonts w:cs="Arial"/>
          <w:sz w:val="20"/>
          <w:lang w:val="en-GB"/>
        </w:rPr>
      </w:pPr>
      <w:r w:rsidRPr="00F12C3C">
        <w:rPr>
          <w:rFonts w:cs="Arial"/>
          <w:sz w:val="20"/>
          <w:lang w:val="en-GB"/>
        </w:rPr>
        <w:t xml:space="preserve">An Agreement will be signed between the UNDP and the selected implementing institutions. The Agreement will outline the responsibility of each of the parties, ensure the projects are implemented in the most effective, transparent as well as accountable way and will comprise a preliminary Operation and Maintenance Plan, compliance with safety requirements, as well as existing environmental and municipal codes. The Agreement shall also include a statement of the contribution of the implementing agency. </w:t>
      </w:r>
    </w:p>
    <w:p w14:paraId="16DDD311" w14:textId="77777777" w:rsidR="004002DA" w:rsidRPr="00F12C3C" w:rsidRDefault="004002DA" w:rsidP="002A6590">
      <w:pPr>
        <w:pStyle w:val="LII-Text"/>
        <w:numPr>
          <w:ilvl w:val="0"/>
          <w:numId w:val="21"/>
        </w:numPr>
        <w:tabs>
          <w:tab w:val="clear" w:pos="709"/>
        </w:tabs>
        <w:spacing w:before="120" w:after="120" w:line="240" w:lineRule="auto"/>
        <w:rPr>
          <w:rFonts w:cs="Arial"/>
          <w:sz w:val="20"/>
          <w:lang w:val="en-GB"/>
        </w:rPr>
      </w:pPr>
      <w:r w:rsidRPr="00F12C3C">
        <w:rPr>
          <w:rFonts w:cs="Arial"/>
          <w:sz w:val="20"/>
          <w:lang w:val="en-GB"/>
        </w:rPr>
        <w:t xml:space="preserve">The Agreement will clearly stipulate that the project funds should not be utilised to cover any customs duties. If such duties must be paid, they will be covered by the implementing institutions, the project beneficiaries or from other sources. Evidence thereof will have to be furnished prior to the conclusion of contracts for supplies and services. </w:t>
      </w:r>
    </w:p>
    <w:p w14:paraId="56F6DF3C" w14:textId="77777777" w:rsidR="004002DA" w:rsidRPr="00F12C3C" w:rsidRDefault="004002DA" w:rsidP="002A6590">
      <w:pPr>
        <w:pStyle w:val="LII-Text"/>
        <w:numPr>
          <w:ilvl w:val="0"/>
          <w:numId w:val="21"/>
        </w:numPr>
        <w:tabs>
          <w:tab w:val="clear" w:pos="709"/>
        </w:tabs>
        <w:spacing w:before="120" w:after="120" w:line="240" w:lineRule="auto"/>
        <w:rPr>
          <w:rFonts w:cs="Arial"/>
          <w:sz w:val="20"/>
          <w:lang w:val="en-GB"/>
        </w:rPr>
      </w:pPr>
      <w:r w:rsidRPr="00F12C3C">
        <w:rPr>
          <w:rFonts w:cs="Arial"/>
          <w:sz w:val="20"/>
          <w:lang w:val="en-GB"/>
        </w:rPr>
        <w:t xml:space="preserve">Implementing institutions and UNDP will agree on the optimal project implementation approach to be adopted. In general, the implementing institutions will be responsible for preparing and implementing the respective project. This includes preparing the necessary technical documents for the project and developing an implementation plan for project activities related to the physical works, tendering, contract negotiations and conclusion, supervision of the works as well as acceptance of the supplies and services provided. The tender documents and proposals for award of contract will be co-ordinated with UNDP. The UNDP will assist the implementing institutions in preparing and implementing the individual projects ("joint implementation"). If required, the UNDP can implement the respective project on behalf of the responsible institution in case this institution request UNDP to do so. Additionally, local service providers could be hired to assist the implementing institutions in preparing and implementing individual projects. In any case, the UNDP will explain the specific implementation regulations to the implementing institutions. </w:t>
      </w:r>
    </w:p>
    <w:p w14:paraId="57DED324" w14:textId="77777777" w:rsidR="004002DA" w:rsidRPr="00F12C3C" w:rsidRDefault="004002DA" w:rsidP="002A6590">
      <w:pPr>
        <w:pStyle w:val="LII-Text"/>
        <w:numPr>
          <w:ilvl w:val="0"/>
          <w:numId w:val="21"/>
        </w:numPr>
        <w:tabs>
          <w:tab w:val="clear" w:pos="709"/>
        </w:tabs>
        <w:spacing w:before="120" w:after="120" w:line="240" w:lineRule="auto"/>
        <w:rPr>
          <w:rFonts w:cs="Arial"/>
          <w:sz w:val="20"/>
          <w:lang w:val="en-GB"/>
        </w:rPr>
      </w:pPr>
      <w:r w:rsidRPr="00F12C3C">
        <w:rPr>
          <w:rFonts w:cs="Arial"/>
          <w:sz w:val="20"/>
          <w:lang w:val="en-GB"/>
        </w:rPr>
        <w:t xml:space="preserve">UNDP will ensure that in project designs energy efficiency measures are taken into consideration to the extent possible (e.g. energy-saving lighting, insulation, energy efficient construction materials, water warming tanks on the roof, etc,). The intended measures shall be described in the inception report to </w:t>
      </w:r>
      <w:proofErr w:type="spellStart"/>
      <w:r w:rsidRPr="00F12C3C">
        <w:rPr>
          <w:rFonts w:cs="Arial"/>
          <w:sz w:val="20"/>
          <w:lang w:val="en-GB"/>
        </w:rPr>
        <w:t>KfW</w:t>
      </w:r>
      <w:proofErr w:type="spellEnd"/>
      <w:r w:rsidRPr="00F12C3C">
        <w:rPr>
          <w:rFonts w:cs="Arial"/>
          <w:sz w:val="20"/>
          <w:lang w:val="en-GB"/>
        </w:rPr>
        <w:t xml:space="preserve">; the final report to </w:t>
      </w:r>
      <w:proofErr w:type="spellStart"/>
      <w:r w:rsidRPr="00F12C3C">
        <w:rPr>
          <w:rFonts w:cs="Arial"/>
          <w:sz w:val="20"/>
          <w:lang w:val="en-GB"/>
        </w:rPr>
        <w:t>KfW</w:t>
      </w:r>
      <w:proofErr w:type="spellEnd"/>
      <w:r w:rsidRPr="00F12C3C">
        <w:rPr>
          <w:rFonts w:cs="Arial"/>
          <w:sz w:val="20"/>
          <w:lang w:val="en-GB"/>
        </w:rPr>
        <w:t xml:space="preserve"> shall contain a narrative on the measures taken.</w:t>
      </w:r>
    </w:p>
    <w:p w14:paraId="1A56FDD2" w14:textId="77777777" w:rsidR="004002DA" w:rsidRPr="00F12C3C" w:rsidRDefault="004002DA" w:rsidP="002A6590">
      <w:pPr>
        <w:pStyle w:val="LII-Text"/>
        <w:numPr>
          <w:ilvl w:val="0"/>
          <w:numId w:val="21"/>
        </w:numPr>
        <w:tabs>
          <w:tab w:val="clear" w:pos="709"/>
        </w:tabs>
        <w:spacing w:before="120" w:after="120" w:line="240" w:lineRule="auto"/>
        <w:rPr>
          <w:rFonts w:cs="Arial"/>
          <w:sz w:val="20"/>
          <w:lang w:val="en-GB"/>
        </w:rPr>
      </w:pPr>
      <w:r w:rsidRPr="00F12C3C">
        <w:rPr>
          <w:rFonts w:cs="Arial"/>
          <w:sz w:val="20"/>
          <w:lang w:val="en-GB"/>
        </w:rPr>
        <w:t>After approval by UNDP, the contracts for goods and all other services will be awarded to qualified Palestinian enterprises after a competitive public bidding according to UN regulations. The invitations to tender will stipulate a minimum amount of 30% of each contract value for labour, with putting in place new systems through a labour-intensive approach. The contractors must show in their offers that this amount will be obtained. The contract to be signed the winning contractors must include a safety plan, compliance with environmental laws and municipal codes, as part of the contractor’s quality management and assurance mechanism.</w:t>
      </w:r>
    </w:p>
    <w:p w14:paraId="165430CA" w14:textId="77777777" w:rsidR="004002DA" w:rsidRPr="00F12C3C" w:rsidRDefault="004002DA" w:rsidP="002A6590">
      <w:pPr>
        <w:pStyle w:val="LII-Text"/>
        <w:numPr>
          <w:ilvl w:val="0"/>
          <w:numId w:val="21"/>
        </w:numPr>
        <w:tabs>
          <w:tab w:val="clear" w:pos="709"/>
        </w:tabs>
        <w:spacing w:before="120" w:after="120" w:line="240" w:lineRule="auto"/>
        <w:rPr>
          <w:rFonts w:cs="Arial"/>
          <w:sz w:val="20"/>
          <w:lang w:val="en-GB"/>
        </w:rPr>
      </w:pPr>
      <w:r w:rsidRPr="00F12C3C">
        <w:rPr>
          <w:rFonts w:cs="Arial"/>
          <w:sz w:val="20"/>
          <w:lang w:val="en-GB"/>
        </w:rPr>
        <w:t xml:space="preserve">UNDP will observe the project progress continually and will be reporting to </w:t>
      </w:r>
      <w:proofErr w:type="spellStart"/>
      <w:r w:rsidRPr="00F12C3C">
        <w:rPr>
          <w:rFonts w:cs="Arial"/>
          <w:sz w:val="20"/>
          <w:lang w:val="en-GB"/>
        </w:rPr>
        <w:t>KfW</w:t>
      </w:r>
      <w:proofErr w:type="spellEnd"/>
      <w:r w:rsidRPr="00F12C3C">
        <w:rPr>
          <w:rFonts w:cs="Arial"/>
          <w:sz w:val="20"/>
          <w:lang w:val="en-GB"/>
        </w:rPr>
        <w:t xml:space="preserve"> on the Programme progress within the framework of the regular reporting.</w:t>
      </w:r>
    </w:p>
    <w:p w14:paraId="36E08482" w14:textId="77777777" w:rsidR="004002DA" w:rsidRPr="00F12C3C" w:rsidRDefault="004002DA" w:rsidP="002A6590">
      <w:pPr>
        <w:pStyle w:val="LII-Text"/>
        <w:numPr>
          <w:ilvl w:val="0"/>
          <w:numId w:val="21"/>
        </w:numPr>
        <w:tabs>
          <w:tab w:val="clear" w:pos="709"/>
        </w:tabs>
        <w:spacing w:before="120" w:after="120" w:line="240" w:lineRule="auto"/>
        <w:rPr>
          <w:rFonts w:cs="Arial"/>
          <w:sz w:val="20"/>
          <w:lang w:val="en-GB"/>
        </w:rPr>
      </w:pPr>
      <w:r w:rsidRPr="00F12C3C">
        <w:rPr>
          <w:rFonts w:cs="Arial"/>
          <w:sz w:val="20"/>
          <w:lang w:val="en-GB"/>
        </w:rPr>
        <w:t xml:space="preserve">If there are changes to the allocation of funds among the projects that exceed 25% of the original allocation or 30,000 EUR will require a new non-objection from </w:t>
      </w:r>
      <w:proofErr w:type="spellStart"/>
      <w:r w:rsidRPr="00F12C3C">
        <w:rPr>
          <w:rFonts w:cs="Arial"/>
          <w:sz w:val="20"/>
          <w:lang w:val="en-GB"/>
        </w:rPr>
        <w:t>KfW</w:t>
      </w:r>
      <w:proofErr w:type="spellEnd"/>
      <w:r w:rsidRPr="00F12C3C">
        <w:rPr>
          <w:rFonts w:cs="Arial"/>
          <w:sz w:val="20"/>
          <w:lang w:val="en-GB"/>
        </w:rPr>
        <w:t xml:space="preserve">. </w:t>
      </w:r>
    </w:p>
    <w:p w14:paraId="5E4841DF" w14:textId="77777777" w:rsidR="004002DA" w:rsidRPr="00F12C3C" w:rsidRDefault="004002DA" w:rsidP="002A6590">
      <w:pPr>
        <w:pStyle w:val="LII-Text"/>
        <w:numPr>
          <w:ilvl w:val="0"/>
          <w:numId w:val="21"/>
        </w:numPr>
        <w:tabs>
          <w:tab w:val="clear" w:pos="709"/>
        </w:tabs>
        <w:spacing w:before="120" w:after="120" w:line="240" w:lineRule="auto"/>
        <w:rPr>
          <w:rFonts w:cs="Arial"/>
          <w:sz w:val="20"/>
          <w:lang w:val="en-GB"/>
        </w:rPr>
      </w:pPr>
      <w:r w:rsidRPr="00F12C3C">
        <w:rPr>
          <w:rFonts w:cs="Arial"/>
          <w:sz w:val="20"/>
          <w:lang w:val="en-GB"/>
        </w:rPr>
        <w:t xml:space="preserve">UNDP will submit regular semi-annual progress reports to the </w:t>
      </w:r>
      <w:proofErr w:type="spellStart"/>
      <w:r w:rsidRPr="00F12C3C">
        <w:rPr>
          <w:rFonts w:cs="Arial"/>
          <w:sz w:val="20"/>
          <w:lang w:val="en-GB"/>
        </w:rPr>
        <w:t>KfW</w:t>
      </w:r>
      <w:proofErr w:type="spellEnd"/>
      <w:r w:rsidRPr="00F12C3C">
        <w:rPr>
          <w:rFonts w:cs="Arial"/>
          <w:sz w:val="20"/>
          <w:lang w:val="en-GB"/>
        </w:rPr>
        <w:t>. UNDP will make all payments exclusively to the IPs in line with UNDP rules and regulations and implementation of the HACT modalities. Where, UNDP will enter into agreements with IP’s as outlined above utilizing low-value grant agreements or Responsible Party Agreements.</w:t>
      </w:r>
    </w:p>
    <w:p w14:paraId="1513EF44" w14:textId="77777777" w:rsidR="004002DA" w:rsidRPr="00F12C3C" w:rsidRDefault="004002DA" w:rsidP="002A6590">
      <w:pPr>
        <w:pStyle w:val="LII-Text"/>
        <w:numPr>
          <w:ilvl w:val="0"/>
          <w:numId w:val="21"/>
        </w:numPr>
        <w:tabs>
          <w:tab w:val="clear" w:pos="709"/>
        </w:tabs>
        <w:spacing w:before="120" w:after="120" w:line="240" w:lineRule="auto"/>
        <w:rPr>
          <w:rFonts w:cs="Arial"/>
          <w:sz w:val="20"/>
          <w:lang w:val="en-GB"/>
        </w:rPr>
      </w:pPr>
      <w:r w:rsidRPr="00F12C3C">
        <w:rPr>
          <w:rFonts w:cs="Arial"/>
          <w:sz w:val="20"/>
          <w:lang w:val="en-GB"/>
        </w:rPr>
        <w:t xml:space="preserve">Before any disbursement UNDP will screen the contractors/recipients against the consolidated list of persons, groups and entities subject to European Union, </w:t>
      </w:r>
      <w:r w:rsidRPr="00F12C3C">
        <w:rPr>
          <w:rFonts w:cs="Arial"/>
          <w:sz w:val="20"/>
          <w:lang w:val="en-US"/>
        </w:rPr>
        <w:t xml:space="preserve">UN and German </w:t>
      </w:r>
      <w:r w:rsidRPr="00F12C3C">
        <w:rPr>
          <w:rFonts w:cs="Arial"/>
          <w:sz w:val="20"/>
          <w:lang w:val="en-GB"/>
        </w:rPr>
        <w:t xml:space="preserve">financial sanctions. </w:t>
      </w:r>
    </w:p>
    <w:p w14:paraId="38CEC2B8" w14:textId="77777777" w:rsidR="004002DA" w:rsidRPr="00F12C3C" w:rsidRDefault="004002DA" w:rsidP="002A6590">
      <w:pPr>
        <w:pStyle w:val="LII-Text"/>
        <w:numPr>
          <w:ilvl w:val="0"/>
          <w:numId w:val="21"/>
        </w:numPr>
        <w:spacing w:before="120" w:after="120" w:line="240" w:lineRule="auto"/>
        <w:rPr>
          <w:rFonts w:cs="Arial"/>
          <w:sz w:val="20"/>
          <w:lang w:val="en-GB"/>
        </w:rPr>
      </w:pPr>
      <w:r w:rsidRPr="00F12C3C">
        <w:rPr>
          <w:rFonts w:cs="Arial"/>
          <w:sz w:val="20"/>
          <w:lang w:val="en-GB"/>
        </w:rPr>
        <w:t>This screening must be documented and confirmed within each Withdrawal Application. All persons or entities to be found on that list are excluded from funding.</w:t>
      </w:r>
    </w:p>
    <w:p w14:paraId="6F10DD77" w14:textId="77777777" w:rsidR="004002DA" w:rsidRPr="00F12C3C" w:rsidRDefault="004002DA" w:rsidP="004002DA">
      <w:pPr>
        <w:rPr>
          <w:rFonts w:cs="Arial"/>
          <w:b/>
          <w:iCs/>
          <w:sz w:val="20"/>
          <w:lang w:val="en-US"/>
        </w:rPr>
      </w:pPr>
      <w:r w:rsidRPr="00F12C3C">
        <w:rPr>
          <w:rFonts w:cs="Arial"/>
          <w:b/>
          <w:iCs/>
          <w:sz w:val="20"/>
          <w:lang w:val="en-US"/>
        </w:rPr>
        <w:t>Structure:</w:t>
      </w:r>
    </w:p>
    <w:p w14:paraId="750D0926" w14:textId="77777777" w:rsidR="004002DA" w:rsidRPr="00F12C3C" w:rsidRDefault="004002DA" w:rsidP="004002DA">
      <w:pPr>
        <w:pStyle w:val="Memoheading"/>
        <w:spacing w:before="120" w:after="120"/>
        <w:jc w:val="both"/>
        <w:rPr>
          <w:rFonts w:ascii="Arial" w:hAnsi="Arial" w:cs="Arial"/>
          <w:noProof w:val="0"/>
          <w:lang w:val="en-GB"/>
        </w:rPr>
      </w:pPr>
      <w:r w:rsidRPr="00F12C3C">
        <w:rPr>
          <w:rFonts w:ascii="Arial" w:hAnsi="Arial" w:cs="Arial"/>
          <w:noProof w:val="0"/>
          <w:lang w:val="en-GB"/>
        </w:rPr>
        <w:lastRenderedPageBreak/>
        <w:t>67.  UNDP will assign a Project Implementation Unit (PIU), under the direct supervision of Programme Portfolio Manager from its existing staff, and as was requested by and coordinated with the Donor, to follow up on:</w:t>
      </w:r>
    </w:p>
    <w:p w14:paraId="1024FECE" w14:textId="77777777" w:rsidR="004002DA" w:rsidRPr="00F12C3C" w:rsidRDefault="004002DA" w:rsidP="002A6590">
      <w:pPr>
        <w:pStyle w:val="Memoheading"/>
        <w:numPr>
          <w:ilvl w:val="0"/>
          <w:numId w:val="18"/>
        </w:numPr>
        <w:spacing w:before="120" w:after="120"/>
        <w:contextualSpacing/>
        <w:jc w:val="both"/>
        <w:rPr>
          <w:rFonts w:ascii="Arial" w:hAnsi="Arial" w:cs="Arial"/>
          <w:noProof w:val="0"/>
          <w:lang w:val="en-GB"/>
        </w:rPr>
      </w:pPr>
      <w:r w:rsidRPr="00F12C3C">
        <w:rPr>
          <w:rFonts w:ascii="Arial" w:hAnsi="Arial" w:cs="Arial"/>
          <w:noProof w:val="0"/>
          <w:lang w:val="en-GB"/>
        </w:rPr>
        <w:t>Managerial, administrative and financial matters related to the project, as well as project management on UNDP’s Atlas system.</w:t>
      </w:r>
    </w:p>
    <w:p w14:paraId="764FCC05" w14:textId="77777777" w:rsidR="004002DA" w:rsidRPr="00F12C3C" w:rsidRDefault="004002DA" w:rsidP="002A6590">
      <w:pPr>
        <w:pStyle w:val="Memoheading"/>
        <w:numPr>
          <w:ilvl w:val="0"/>
          <w:numId w:val="18"/>
        </w:numPr>
        <w:spacing w:before="120" w:after="120"/>
        <w:contextualSpacing/>
        <w:jc w:val="both"/>
        <w:rPr>
          <w:rFonts w:ascii="Arial" w:hAnsi="Arial" w:cs="Arial"/>
          <w:noProof w:val="0"/>
          <w:lang w:val="en-GB"/>
        </w:rPr>
      </w:pPr>
      <w:r w:rsidRPr="00F12C3C">
        <w:rPr>
          <w:rFonts w:ascii="Arial" w:hAnsi="Arial" w:cs="Arial"/>
          <w:noProof w:val="0"/>
          <w:lang w:val="en-GB"/>
        </w:rPr>
        <w:t xml:space="preserve">Provide Technical Assurance, to manage and assess the daily technical monitoring of the project. </w:t>
      </w:r>
    </w:p>
    <w:p w14:paraId="6E52DBF1" w14:textId="77777777" w:rsidR="004002DA" w:rsidRPr="00F12C3C" w:rsidRDefault="004002DA" w:rsidP="002A6590">
      <w:pPr>
        <w:pStyle w:val="Memoheading"/>
        <w:numPr>
          <w:ilvl w:val="0"/>
          <w:numId w:val="18"/>
        </w:numPr>
        <w:spacing w:before="120" w:after="120"/>
        <w:contextualSpacing/>
        <w:jc w:val="both"/>
        <w:rPr>
          <w:rFonts w:ascii="Arial" w:hAnsi="Arial" w:cs="Arial"/>
          <w:noProof w:val="0"/>
          <w:lang w:val="en-GB"/>
        </w:rPr>
      </w:pPr>
      <w:r w:rsidRPr="00F12C3C">
        <w:rPr>
          <w:rFonts w:ascii="Arial" w:hAnsi="Arial" w:cs="Arial"/>
          <w:noProof w:val="0"/>
          <w:lang w:val="en-GB"/>
        </w:rPr>
        <w:t>Supervise daily activities in project implementation.</w:t>
      </w:r>
    </w:p>
    <w:p w14:paraId="7BCC9DC4" w14:textId="77777777" w:rsidR="004002DA" w:rsidRPr="00F12C3C" w:rsidRDefault="004002DA" w:rsidP="004002DA">
      <w:pPr>
        <w:spacing w:before="120" w:after="120"/>
        <w:rPr>
          <w:rFonts w:cs="Arial"/>
          <w:sz w:val="20"/>
          <w:lang w:val="en-US"/>
        </w:rPr>
      </w:pPr>
      <w:r w:rsidRPr="00F12C3C">
        <w:rPr>
          <w:rFonts w:cs="Arial"/>
          <w:sz w:val="20"/>
          <w:lang w:val="en-US"/>
        </w:rPr>
        <w:t>68.  UNDP will assign PIU for managing the implementation of the programme. The team will consist of one Project Manager and Associate, in addition to the part time support of other colleagues such as procurement and engineering services, and functional services will be provided by UNDP at partial cost as outlined under the HR matrix.</w:t>
      </w:r>
    </w:p>
    <w:p w14:paraId="73CD53B9" w14:textId="77777777" w:rsidR="004002DA" w:rsidRPr="00F12C3C" w:rsidRDefault="004002DA" w:rsidP="004002DA">
      <w:pPr>
        <w:spacing w:before="120" w:after="120"/>
        <w:rPr>
          <w:rFonts w:cs="Arial"/>
          <w:sz w:val="20"/>
          <w:lang w:val="en-US"/>
        </w:rPr>
      </w:pPr>
      <w:r w:rsidRPr="00F12C3C">
        <w:rPr>
          <w:rFonts w:cs="Arial"/>
          <w:sz w:val="20"/>
          <w:lang w:val="en-US"/>
        </w:rPr>
        <w:t xml:space="preserve">69.  </w:t>
      </w:r>
      <w:r w:rsidRPr="00F12C3C">
        <w:rPr>
          <w:rFonts w:eastAsia="Arial" w:cs="Arial"/>
          <w:noProof/>
          <w:sz w:val="20"/>
          <w:lang w:val="en-US"/>
        </w:rPr>
        <w:t xml:space="preserve"> UNDP will apply its Programme Operations Policies and Procedures (</w:t>
      </w:r>
      <w:hyperlink r:id="rId15" w:history="1">
        <w:r w:rsidRPr="00F12C3C">
          <w:rPr>
            <w:rStyle w:val="Hyperlink"/>
            <w:rFonts w:eastAsia="Arial" w:cs="Arial"/>
            <w:noProof/>
            <w:sz w:val="20"/>
            <w:lang w:val="en-US"/>
          </w:rPr>
          <w:t>POPP</w:t>
        </w:r>
      </w:hyperlink>
      <w:r w:rsidRPr="00F12C3C">
        <w:rPr>
          <w:rFonts w:eastAsia="Arial" w:cs="Arial"/>
          <w:noProof/>
          <w:sz w:val="20"/>
          <w:lang w:val="en-US"/>
        </w:rPr>
        <w:t>) in the implementation of the project, while   incorporating existing systems, notably, the procurement tracking system led by WHO and MoH. For procurement of medical equipment under Outcome 1: Due to supply chain disruption and export restrictions put in place by many countries for certain critical products, such as but not limited to, protection and treatment equipment in connection to COVID-19, UNDP has identified alternatives beyond sourcing from UNDP's traditional and/or Long-Term Agreements (LTA) vendors. Increasingly these sourcing solutions may need to be local, for example suppliers or manufacturers who already have stock and who require orders to be placed within a short period to secure supply. To facilitate such procurement, UNDP is authorized by HQ to implement the following fast track procedures, while ensuring  due diligence (including spot checks) to  reduce risks in line with UNDP procurement principles:</w:t>
      </w:r>
    </w:p>
    <w:p w14:paraId="2711D339" w14:textId="77777777" w:rsidR="004002DA" w:rsidRPr="00F12C3C" w:rsidRDefault="004002DA" w:rsidP="002A6590">
      <w:pPr>
        <w:pStyle w:val="ListParagraph"/>
        <w:numPr>
          <w:ilvl w:val="0"/>
          <w:numId w:val="22"/>
        </w:numPr>
        <w:spacing w:after="60" w:line="240" w:lineRule="auto"/>
        <w:contextualSpacing w:val="0"/>
        <w:jc w:val="both"/>
        <w:rPr>
          <w:rFonts w:eastAsiaTheme="minorBidi" w:cs="Arial"/>
          <w:sz w:val="20"/>
          <w:lang w:val="en-US"/>
        </w:rPr>
      </w:pPr>
      <w:r w:rsidRPr="00F12C3C">
        <w:rPr>
          <w:rFonts w:cs="Arial"/>
          <w:noProof/>
          <w:sz w:val="20"/>
          <w:lang w:val="en-US"/>
        </w:rPr>
        <w:t xml:space="preserve">National Competition: Lifting of the restriction on national competition and encouraging Country Offices to look at the local market for sourcing urgently required supplies.  </w:t>
      </w:r>
    </w:p>
    <w:p w14:paraId="71E104A6" w14:textId="77777777" w:rsidR="004002DA" w:rsidRPr="00F12C3C" w:rsidRDefault="004002DA" w:rsidP="002A6590">
      <w:pPr>
        <w:pStyle w:val="ListParagraph"/>
        <w:numPr>
          <w:ilvl w:val="0"/>
          <w:numId w:val="22"/>
        </w:numPr>
        <w:spacing w:after="60" w:line="240" w:lineRule="auto"/>
        <w:contextualSpacing w:val="0"/>
        <w:jc w:val="both"/>
        <w:rPr>
          <w:rFonts w:eastAsiaTheme="minorBidi" w:cs="Arial"/>
          <w:sz w:val="20"/>
          <w:lang w:val="en-US"/>
        </w:rPr>
      </w:pPr>
      <w:r w:rsidRPr="00F12C3C">
        <w:rPr>
          <w:rFonts w:cs="Arial"/>
          <w:noProof/>
          <w:sz w:val="20"/>
          <w:lang w:val="en-US"/>
        </w:rPr>
        <w:t>Bidding time: Reduction of the minimum bidding period from two weeks to one week.</w:t>
      </w:r>
    </w:p>
    <w:p w14:paraId="607C576D" w14:textId="77777777" w:rsidR="004002DA" w:rsidRPr="00F12C3C" w:rsidRDefault="004002DA" w:rsidP="002A6590">
      <w:pPr>
        <w:pStyle w:val="ListParagraph"/>
        <w:numPr>
          <w:ilvl w:val="0"/>
          <w:numId w:val="22"/>
        </w:numPr>
        <w:spacing w:after="60" w:line="240" w:lineRule="auto"/>
        <w:contextualSpacing w:val="0"/>
        <w:jc w:val="both"/>
        <w:rPr>
          <w:rFonts w:eastAsiaTheme="minorBidi" w:cs="Arial"/>
          <w:sz w:val="20"/>
          <w:lang w:val="en-US"/>
        </w:rPr>
      </w:pPr>
      <w:r w:rsidRPr="00F12C3C">
        <w:rPr>
          <w:rFonts w:cs="Arial"/>
          <w:noProof/>
          <w:sz w:val="20"/>
          <w:lang w:val="en-US"/>
        </w:rPr>
        <w:t xml:space="preserve">Expediting clearances: To ensure that there are no delays in the provision of clearances by Chairperson of the Advisory Committee on Procurement (ACP). </w:t>
      </w:r>
    </w:p>
    <w:p w14:paraId="1D32EC02" w14:textId="77777777" w:rsidR="004002DA" w:rsidRPr="00F12C3C" w:rsidRDefault="004002DA" w:rsidP="002A6590">
      <w:pPr>
        <w:pStyle w:val="ListParagraph"/>
        <w:numPr>
          <w:ilvl w:val="0"/>
          <w:numId w:val="22"/>
        </w:numPr>
        <w:spacing w:after="60" w:line="240" w:lineRule="auto"/>
        <w:contextualSpacing w:val="0"/>
        <w:jc w:val="both"/>
        <w:rPr>
          <w:rFonts w:eastAsiaTheme="minorBidi" w:cs="Arial"/>
          <w:sz w:val="20"/>
          <w:lang w:val="en-US"/>
        </w:rPr>
      </w:pPr>
      <w:r w:rsidRPr="00F12C3C">
        <w:rPr>
          <w:rFonts w:cs="Arial"/>
          <w:noProof/>
          <w:sz w:val="20"/>
          <w:lang w:val="en-US"/>
        </w:rPr>
        <w:t>Business Units are now authorized with Increased Delegated Procurement Authority (DPA) the use of Direct Review at the CAP level for any exigent procurement action up to the Business Unit's Increased DPA. (UNDP has now a DPA for direct contracting up to US$500K instead of US$250K).</w:t>
      </w:r>
      <w:r w:rsidRPr="00F12C3C">
        <w:rPr>
          <w:rFonts w:cs="Arial"/>
          <w:sz w:val="20"/>
          <w:lang w:val="en-US"/>
        </w:rPr>
        <w:t xml:space="preserve"> </w:t>
      </w:r>
    </w:p>
    <w:p w14:paraId="4594C26C" w14:textId="77777777" w:rsidR="004002DA" w:rsidRPr="00F12C3C" w:rsidRDefault="004002DA" w:rsidP="004002DA">
      <w:pPr>
        <w:pStyle w:val="Memoheading"/>
        <w:spacing w:before="120" w:after="120"/>
        <w:jc w:val="both"/>
        <w:rPr>
          <w:rFonts w:ascii="Arial" w:hAnsi="Arial" w:cs="Arial"/>
          <w:lang w:val="en-GB"/>
        </w:rPr>
      </w:pPr>
      <w:r w:rsidRPr="00F12C3C">
        <w:rPr>
          <w:rFonts w:ascii="Arial" w:hAnsi="Arial" w:cs="Arial"/>
          <w:lang w:val="en-GB"/>
        </w:rPr>
        <w:t xml:space="preserve">70.  The civil works for community infrastructure and resilience component (foundations, concrete slabs, block walls, etc.) will be tendered locally through the “Implementing Institution”. Public tender openings will occur in which all relevant parties may be present. The Tender opening Committee, which includes representative from the implementing institution and UNDP, will evaluate the tenders and only upon approval from UNDP, contracts will be awarded to the winning bidders. UNDP will monitor and supervise all works on a daily basis and will be responsible for verifying all works and the issuance of payments to contractors based upon actual works performed. </w:t>
      </w:r>
    </w:p>
    <w:p w14:paraId="76F37DD3" w14:textId="77777777" w:rsidR="004002DA" w:rsidRPr="00F12C3C" w:rsidRDefault="004002DA" w:rsidP="004002DA">
      <w:pPr>
        <w:spacing w:before="120" w:after="120"/>
        <w:rPr>
          <w:rFonts w:eastAsia="Arial" w:cs="Arial"/>
          <w:noProof/>
          <w:sz w:val="20"/>
          <w:lang w:val="en-US"/>
        </w:rPr>
      </w:pPr>
      <w:r w:rsidRPr="00F12C3C">
        <w:rPr>
          <w:rFonts w:eastAsia="Arial" w:cs="Arial"/>
          <w:noProof/>
          <w:sz w:val="20"/>
          <w:lang w:val="en-US"/>
        </w:rPr>
        <w:t>71. In line with UNDP POPP, HACT will be adopted, focusing on the following arrangements:</w:t>
      </w:r>
    </w:p>
    <w:p w14:paraId="762F0AA0" w14:textId="77777777" w:rsidR="004002DA" w:rsidRPr="00F12C3C" w:rsidRDefault="004002DA" w:rsidP="004002DA">
      <w:pPr>
        <w:spacing w:before="120" w:after="120"/>
        <w:rPr>
          <w:rFonts w:eastAsia="Arial" w:cs="Arial"/>
          <w:noProof/>
          <w:sz w:val="20"/>
        </w:rPr>
      </w:pPr>
      <w:r w:rsidRPr="00F12C3C">
        <w:rPr>
          <w:rFonts w:eastAsia="Arial" w:cs="Arial"/>
          <w:noProof/>
          <w:sz w:val="20"/>
          <w:lang w:val="en-US"/>
        </w:rPr>
        <w:t xml:space="preserve">HACT dictates policies and procedures for capacity assessment, cash transfer modality, audit, assurance and monitoring. HACT applies to government and civil society organization/non-governmental organization (CSO/NGO) participation in UNDP projects. Before an entity can be engaged as an Implementing Partner (IP) or Responsible Party (RP) on a UNDP project, a capacity assessment of that entity is performed. </w:t>
      </w:r>
      <w:r w:rsidRPr="00F12C3C">
        <w:rPr>
          <w:rFonts w:eastAsia="Arial" w:cs="Arial"/>
          <w:noProof/>
          <w:sz w:val="20"/>
        </w:rPr>
        <w:t>The following are key considerations for capacity assessment:</w:t>
      </w:r>
    </w:p>
    <w:p w14:paraId="05B78973" w14:textId="77777777" w:rsidR="004002DA" w:rsidRPr="00F12C3C" w:rsidRDefault="004002DA" w:rsidP="004002DA">
      <w:pPr>
        <w:pStyle w:val="ListParagraph"/>
        <w:numPr>
          <w:ilvl w:val="0"/>
          <w:numId w:val="14"/>
        </w:numPr>
        <w:spacing w:before="120" w:after="120" w:line="240" w:lineRule="auto"/>
        <w:contextualSpacing w:val="0"/>
        <w:jc w:val="both"/>
        <w:rPr>
          <w:rFonts w:eastAsia="Arial" w:cs="Arial"/>
          <w:noProof/>
          <w:sz w:val="20"/>
          <w:lang w:val="en-US"/>
        </w:rPr>
      </w:pPr>
      <w:r w:rsidRPr="00F12C3C">
        <w:rPr>
          <w:rFonts w:eastAsia="Arial" w:cs="Arial"/>
          <w:noProof/>
          <w:sz w:val="20"/>
          <w:lang w:val="en-US"/>
        </w:rPr>
        <w:t>Technical capacity- ability to monitor the technical aspects of the project;</w:t>
      </w:r>
    </w:p>
    <w:p w14:paraId="6D20B4DA" w14:textId="77777777" w:rsidR="004002DA" w:rsidRPr="00F12C3C" w:rsidRDefault="004002DA" w:rsidP="004002DA">
      <w:pPr>
        <w:pStyle w:val="ListParagraph"/>
        <w:numPr>
          <w:ilvl w:val="0"/>
          <w:numId w:val="14"/>
        </w:numPr>
        <w:spacing w:before="120" w:after="120" w:line="240" w:lineRule="auto"/>
        <w:contextualSpacing w:val="0"/>
        <w:jc w:val="both"/>
        <w:rPr>
          <w:rFonts w:eastAsia="Arial" w:cs="Arial"/>
          <w:noProof/>
          <w:sz w:val="20"/>
          <w:lang w:val="en-US"/>
        </w:rPr>
      </w:pPr>
      <w:r w:rsidRPr="00F12C3C">
        <w:rPr>
          <w:rFonts w:eastAsia="Arial" w:cs="Arial"/>
          <w:noProof/>
          <w:sz w:val="20"/>
          <w:lang w:val="en-US"/>
        </w:rPr>
        <w:t>Managerial capacity– ability to plan, monitor and coordinate activities;</w:t>
      </w:r>
    </w:p>
    <w:p w14:paraId="1AC6F241" w14:textId="77777777" w:rsidR="004002DA" w:rsidRPr="00F12C3C" w:rsidRDefault="004002DA" w:rsidP="004002DA">
      <w:pPr>
        <w:pStyle w:val="ListParagraph"/>
        <w:numPr>
          <w:ilvl w:val="0"/>
          <w:numId w:val="14"/>
        </w:numPr>
        <w:spacing w:before="120" w:after="120" w:line="240" w:lineRule="auto"/>
        <w:contextualSpacing w:val="0"/>
        <w:jc w:val="both"/>
        <w:rPr>
          <w:rFonts w:eastAsia="Arial" w:cs="Arial"/>
          <w:noProof/>
          <w:sz w:val="20"/>
        </w:rPr>
      </w:pPr>
      <w:r w:rsidRPr="00F12C3C">
        <w:rPr>
          <w:rFonts w:eastAsia="Arial" w:cs="Arial"/>
          <w:noProof/>
          <w:sz w:val="20"/>
        </w:rPr>
        <w:lastRenderedPageBreak/>
        <w:t>Administrative capacity– ability to:</w:t>
      </w:r>
    </w:p>
    <w:p w14:paraId="5D48602F" w14:textId="77777777" w:rsidR="004002DA" w:rsidRPr="00F12C3C" w:rsidRDefault="004002DA" w:rsidP="004002DA">
      <w:pPr>
        <w:pStyle w:val="ListParagraph"/>
        <w:numPr>
          <w:ilvl w:val="1"/>
          <w:numId w:val="13"/>
        </w:numPr>
        <w:spacing w:line="240" w:lineRule="auto"/>
        <w:contextualSpacing w:val="0"/>
        <w:jc w:val="both"/>
        <w:rPr>
          <w:rFonts w:eastAsia="Arial" w:cs="Arial"/>
          <w:noProof/>
          <w:sz w:val="20"/>
          <w:lang w:val="en-US"/>
        </w:rPr>
      </w:pPr>
      <w:r w:rsidRPr="00F12C3C">
        <w:rPr>
          <w:rFonts w:eastAsia="Arial" w:cs="Arial"/>
          <w:noProof/>
          <w:sz w:val="20"/>
          <w:lang w:val="en-US"/>
        </w:rPr>
        <w:t>Procure goods, services and works on a transparent and competitive basis</w:t>
      </w:r>
    </w:p>
    <w:p w14:paraId="3C9ECA3C" w14:textId="77777777" w:rsidR="004002DA" w:rsidRPr="00F12C3C" w:rsidRDefault="004002DA" w:rsidP="004002DA">
      <w:pPr>
        <w:pStyle w:val="ListParagraph"/>
        <w:numPr>
          <w:ilvl w:val="1"/>
          <w:numId w:val="13"/>
        </w:numPr>
        <w:spacing w:line="240" w:lineRule="auto"/>
        <w:contextualSpacing w:val="0"/>
        <w:jc w:val="both"/>
        <w:rPr>
          <w:rFonts w:eastAsia="Arial" w:cs="Arial"/>
          <w:noProof/>
          <w:sz w:val="20"/>
          <w:lang w:val="en-US"/>
        </w:rPr>
      </w:pPr>
      <w:r w:rsidRPr="00F12C3C">
        <w:rPr>
          <w:rFonts w:eastAsia="Arial" w:cs="Arial"/>
          <w:noProof/>
          <w:sz w:val="20"/>
          <w:lang w:val="en-US"/>
        </w:rPr>
        <w:t>Recruit and manage the best qualified personnel on a transparent and competitive basis</w:t>
      </w:r>
    </w:p>
    <w:p w14:paraId="32C12D80" w14:textId="77777777" w:rsidR="004002DA" w:rsidRPr="00F12C3C" w:rsidRDefault="004002DA" w:rsidP="004002DA">
      <w:pPr>
        <w:pStyle w:val="ListParagraph"/>
        <w:numPr>
          <w:ilvl w:val="1"/>
          <w:numId w:val="13"/>
        </w:numPr>
        <w:spacing w:line="240" w:lineRule="auto"/>
        <w:contextualSpacing w:val="0"/>
        <w:jc w:val="both"/>
        <w:rPr>
          <w:rFonts w:eastAsia="Arial" w:cs="Arial"/>
          <w:noProof/>
          <w:sz w:val="20"/>
        </w:rPr>
      </w:pPr>
      <w:r w:rsidRPr="00F12C3C">
        <w:rPr>
          <w:rFonts w:eastAsia="Arial" w:cs="Arial"/>
          <w:noProof/>
          <w:sz w:val="20"/>
        </w:rPr>
        <w:t>Prepare and sign contracts</w:t>
      </w:r>
    </w:p>
    <w:p w14:paraId="37FB48D7" w14:textId="77777777" w:rsidR="004002DA" w:rsidRPr="00F12C3C" w:rsidRDefault="004002DA" w:rsidP="004002DA">
      <w:pPr>
        <w:pStyle w:val="ListParagraph"/>
        <w:numPr>
          <w:ilvl w:val="1"/>
          <w:numId w:val="13"/>
        </w:numPr>
        <w:spacing w:line="240" w:lineRule="auto"/>
        <w:contextualSpacing w:val="0"/>
        <w:jc w:val="both"/>
        <w:rPr>
          <w:rFonts w:eastAsia="Arial" w:cs="Arial"/>
          <w:noProof/>
          <w:sz w:val="20"/>
        </w:rPr>
      </w:pPr>
      <w:r w:rsidRPr="00F12C3C">
        <w:rPr>
          <w:rFonts w:eastAsia="Arial" w:cs="Arial"/>
          <w:noProof/>
          <w:sz w:val="20"/>
        </w:rPr>
        <w:t>Manage and maintain equipment; and</w:t>
      </w:r>
    </w:p>
    <w:p w14:paraId="3E262291" w14:textId="77777777" w:rsidR="004002DA" w:rsidRPr="00F12C3C" w:rsidRDefault="004002DA" w:rsidP="004002DA">
      <w:pPr>
        <w:pStyle w:val="ListParagraph"/>
        <w:numPr>
          <w:ilvl w:val="0"/>
          <w:numId w:val="14"/>
        </w:numPr>
        <w:spacing w:before="120" w:after="120" w:line="240" w:lineRule="auto"/>
        <w:contextualSpacing w:val="0"/>
        <w:jc w:val="both"/>
        <w:rPr>
          <w:rFonts w:eastAsia="Arial" w:cs="Arial"/>
          <w:noProof/>
          <w:sz w:val="20"/>
        </w:rPr>
      </w:pPr>
      <w:r w:rsidRPr="00F12C3C">
        <w:rPr>
          <w:rFonts w:eastAsia="Arial" w:cs="Arial"/>
          <w:noProof/>
          <w:sz w:val="20"/>
        </w:rPr>
        <w:t>Financial capacity– ability to:</w:t>
      </w:r>
    </w:p>
    <w:p w14:paraId="5808F2EF" w14:textId="77777777" w:rsidR="004002DA" w:rsidRPr="00F12C3C" w:rsidRDefault="004002DA" w:rsidP="004002DA">
      <w:pPr>
        <w:pStyle w:val="ListParagraph"/>
        <w:numPr>
          <w:ilvl w:val="1"/>
          <w:numId w:val="12"/>
        </w:numPr>
        <w:spacing w:line="240" w:lineRule="auto"/>
        <w:contextualSpacing w:val="0"/>
        <w:jc w:val="both"/>
        <w:rPr>
          <w:rFonts w:eastAsia="Arial" w:cs="Arial"/>
          <w:noProof/>
          <w:sz w:val="20"/>
        </w:rPr>
      </w:pPr>
      <w:r w:rsidRPr="00F12C3C">
        <w:rPr>
          <w:rFonts w:eastAsia="Arial" w:cs="Arial"/>
          <w:noProof/>
          <w:sz w:val="20"/>
        </w:rPr>
        <w:t>Produce project budgets</w:t>
      </w:r>
    </w:p>
    <w:p w14:paraId="6A5CA7FE" w14:textId="77777777" w:rsidR="004002DA" w:rsidRPr="00F12C3C" w:rsidRDefault="004002DA" w:rsidP="004002DA">
      <w:pPr>
        <w:pStyle w:val="ListParagraph"/>
        <w:numPr>
          <w:ilvl w:val="1"/>
          <w:numId w:val="12"/>
        </w:numPr>
        <w:spacing w:line="240" w:lineRule="auto"/>
        <w:contextualSpacing w:val="0"/>
        <w:jc w:val="both"/>
        <w:rPr>
          <w:rFonts w:eastAsia="Arial" w:cs="Arial"/>
          <w:noProof/>
          <w:sz w:val="20"/>
          <w:lang w:val="en-US"/>
        </w:rPr>
      </w:pPr>
      <w:r w:rsidRPr="00F12C3C">
        <w:rPr>
          <w:rFonts w:eastAsia="Arial" w:cs="Arial"/>
          <w:noProof/>
          <w:sz w:val="20"/>
          <w:lang w:val="en-US"/>
        </w:rPr>
        <w:t>Ensure physical security of advances, cash and records,</w:t>
      </w:r>
    </w:p>
    <w:p w14:paraId="7FA5AE0F" w14:textId="77777777" w:rsidR="004002DA" w:rsidRPr="00F12C3C" w:rsidRDefault="004002DA" w:rsidP="004002DA">
      <w:pPr>
        <w:pStyle w:val="ListParagraph"/>
        <w:numPr>
          <w:ilvl w:val="1"/>
          <w:numId w:val="12"/>
        </w:numPr>
        <w:spacing w:line="240" w:lineRule="auto"/>
        <w:contextualSpacing w:val="0"/>
        <w:jc w:val="both"/>
        <w:rPr>
          <w:rFonts w:eastAsia="Arial" w:cs="Arial"/>
          <w:noProof/>
          <w:sz w:val="20"/>
          <w:lang w:val="en-US"/>
        </w:rPr>
      </w:pPr>
      <w:r w:rsidRPr="00F12C3C">
        <w:rPr>
          <w:rFonts w:eastAsia="Arial" w:cs="Arial"/>
          <w:noProof/>
          <w:sz w:val="20"/>
          <w:lang w:val="en-US"/>
        </w:rPr>
        <w:t>Disburse funds in a timely, proper and effective manner</w:t>
      </w:r>
    </w:p>
    <w:p w14:paraId="12138025" w14:textId="77777777" w:rsidR="004002DA" w:rsidRPr="00F12C3C" w:rsidRDefault="004002DA" w:rsidP="004002DA">
      <w:pPr>
        <w:pStyle w:val="ListParagraph"/>
        <w:numPr>
          <w:ilvl w:val="1"/>
          <w:numId w:val="12"/>
        </w:numPr>
        <w:spacing w:line="240" w:lineRule="auto"/>
        <w:contextualSpacing w:val="0"/>
        <w:jc w:val="both"/>
        <w:rPr>
          <w:rFonts w:eastAsia="Arial" w:cs="Arial"/>
          <w:noProof/>
          <w:sz w:val="20"/>
        </w:rPr>
      </w:pPr>
      <w:r w:rsidRPr="00F12C3C">
        <w:rPr>
          <w:rFonts w:eastAsia="Arial" w:cs="Arial"/>
          <w:noProof/>
          <w:sz w:val="20"/>
        </w:rPr>
        <w:t>Ensure financial recording and reporting</w:t>
      </w:r>
    </w:p>
    <w:p w14:paraId="1127C750" w14:textId="77777777" w:rsidR="004002DA" w:rsidRPr="00F12C3C" w:rsidRDefault="004002DA" w:rsidP="004002DA">
      <w:pPr>
        <w:pStyle w:val="ListParagraph"/>
        <w:numPr>
          <w:ilvl w:val="1"/>
          <w:numId w:val="12"/>
        </w:numPr>
        <w:spacing w:line="240" w:lineRule="auto"/>
        <w:contextualSpacing w:val="0"/>
        <w:jc w:val="both"/>
        <w:rPr>
          <w:rFonts w:eastAsia="Arial" w:cs="Arial"/>
          <w:noProof/>
          <w:sz w:val="20"/>
          <w:lang w:val="en-US"/>
        </w:rPr>
      </w:pPr>
      <w:r w:rsidRPr="00F12C3C">
        <w:rPr>
          <w:rFonts w:eastAsia="Arial" w:cs="Arial"/>
          <w:noProof/>
          <w:sz w:val="20"/>
          <w:lang w:val="en-US"/>
        </w:rPr>
        <w:t>Prepare, authorize and adjust commitments and expenses</w:t>
      </w:r>
    </w:p>
    <w:p w14:paraId="3E16008F" w14:textId="77777777" w:rsidR="004002DA" w:rsidRPr="00F12C3C" w:rsidRDefault="004002DA" w:rsidP="004002DA">
      <w:pPr>
        <w:spacing w:before="120" w:after="120"/>
        <w:rPr>
          <w:rFonts w:eastAsia="Arial" w:cs="Arial"/>
          <w:noProof/>
          <w:sz w:val="20"/>
          <w:lang w:val="en-US"/>
        </w:rPr>
      </w:pPr>
      <w:r w:rsidRPr="00F12C3C">
        <w:rPr>
          <w:rFonts w:eastAsia="Arial" w:cs="Arial"/>
          <w:noProof/>
          <w:sz w:val="20"/>
          <w:lang w:val="en-US"/>
        </w:rPr>
        <w:t>72. The partner’s technical, managerial, administrative and financial capacities should be reassessed throughout the life of the project (preferably on an annual basis). The HACT macro- and micro-assessments are the basis for selection of the cash transfer modality used for each IP or RP and the level of assurance activities used. The level of risk can differ from institution to institution, and the UNDP office should effectively and efficiently manage this risk for each national institution by:</w:t>
      </w:r>
    </w:p>
    <w:p w14:paraId="6D204623" w14:textId="77777777" w:rsidR="004002DA" w:rsidRPr="00F12C3C" w:rsidRDefault="004002DA" w:rsidP="004002DA">
      <w:pPr>
        <w:pStyle w:val="ListParagraph"/>
        <w:numPr>
          <w:ilvl w:val="0"/>
          <w:numId w:val="11"/>
        </w:numPr>
        <w:spacing w:line="240" w:lineRule="auto"/>
        <w:contextualSpacing w:val="0"/>
        <w:jc w:val="both"/>
        <w:rPr>
          <w:rFonts w:eastAsia="Arial" w:cs="Arial"/>
          <w:noProof/>
          <w:sz w:val="20"/>
          <w:lang w:val="en-US"/>
        </w:rPr>
      </w:pPr>
      <w:r w:rsidRPr="00F12C3C">
        <w:rPr>
          <w:rFonts w:eastAsia="Arial" w:cs="Arial"/>
          <w:noProof/>
          <w:sz w:val="20"/>
          <w:lang w:val="en-US"/>
        </w:rPr>
        <w:t>Assessing the institution’s financial management capacity throughout the life of the project;</w:t>
      </w:r>
    </w:p>
    <w:p w14:paraId="0A2FA4E7" w14:textId="77777777" w:rsidR="004002DA" w:rsidRPr="00F12C3C" w:rsidRDefault="004002DA" w:rsidP="004002DA">
      <w:pPr>
        <w:pStyle w:val="ListParagraph"/>
        <w:numPr>
          <w:ilvl w:val="0"/>
          <w:numId w:val="11"/>
        </w:numPr>
        <w:spacing w:line="240" w:lineRule="auto"/>
        <w:contextualSpacing w:val="0"/>
        <w:jc w:val="both"/>
        <w:rPr>
          <w:rFonts w:eastAsia="Arial" w:cs="Arial"/>
          <w:noProof/>
          <w:sz w:val="20"/>
          <w:lang w:val="en-US"/>
        </w:rPr>
      </w:pPr>
      <w:r w:rsidRPr="00F12C3C">
        <w:rPr>
          <w:rFonts w:eastAsia="Arial" w:cs="Arial"/>
          <w:noProof/>
          <w:sz w:val="20"/>
          <w:lang w:val="en-US"/>
        </w:rPr>
        <w:t>Applying appropriate procedures for the provision of cash transfers to the institution; and</w:t>
      </w:r>
    </w:p>
    <w:p w14:paraId="60D5F2E1" w14:textId="77777777" w:rsidR="004002DA" w:rsidRPr="00F12C3C" w:rsidRDefault="004002DA" w:rsidP="004002DA">
      <w:pPr>
        <w:pStyle w:val="ListParagraph"/>
        <w:numPr>
          <w:ilvl w:val="0"/>
          <w:numId w:val="11"/>
        </w:numPr>
        <w:spacing w:line="240" w:lineRule="auto"/>
        <w:contextualSpacing w:val="0"/>
        <w:jc w:val="both"/>
        <w:rPr>
          <w:rFonts w:eastAsia="Arial" w:cs="Arial"/>
          <w:noProof/>
          <w:sz w:val="20"/>
          <w:lang w:val="en-US"/>
        </w:rPr>
      </w:pPr>
      <w:r w:rsidRPr="00F12C3C">
        <w:rPr>
          <w:rFonts w:eastAsia="Arial" w:cs="Arial"/>
          <w:noProof/>
          <w:sz w:val="20"/>
          <w:lang w:val="en-US"/>
        </w:rPr>
        <w:t>Maintaining adequate awareness of the institution’s internal controls for cash transfers through assurance activities.</w:t>
      </w:r>
    </w:p>
    <w:p w14:paraId="0AD38E17" w14:textId="77777777" w:rsidR="004002DA" w:rsidRPr="00F12C3C" w:rsidRDefault="004002DA" w:rsidP="004002DA">
      <w:pPr>
        <w:spacing w:before="120" w:after="120"/>
        <w:rPr>
          <w:rFonts w:eastAsia="Arial" w:cs="Arial"/>
          <w:noProof/>
          <w:sz w:val="20"/>
          <w:lang w:val="en-US"/>
        </w:rPr>
      </w:pPr>
      <w:r w:rsidRPr="00F12C3C">
        <w:rPr>
          <w:rFonts w:eastAsia="Arial" w:cs="Arial"/>
          <w:noProof/>
          <w:sz w:val="20"/>
          <w:lang w:val="en-US"/>
        </w:rPr>
        <w:t>73. For each institution the level of risk may change over time, and this may require appropriate changes in options for cash transfer modality, and audit and monitoring procedures.</w:t>
      </w:r>
    </w:p>
    <w:p w14:paraId="70FEAE7E" w14:textId="77777777" w:rsidR="004002DA" w:rsidRPr="00F12C3C" w:rsidRDefault="004002DA" w:rsidP="004002DA">
      <w:pPr>
        <w:spacing w:before="120" w:after="120"/>
        <w:rPr>
          <w:rFonts w:eastAsia="Arial" w:cs="Arial"/>
          <w:noProof/>
          <w:sz w:val="20"/>
          <w:lang w:val="en-US"/>
        </w:rPr>
      </w:pPr>
      <w:r w:rsidRPr="00F12C3C">
        <w:rPr>
          <w:rFonts w:eastAsia="Arial" w:cs="Arial"/>
          <w:noProof/>
          <w:sz w:val="20"/>
          <w:lang w:val="en-US"/>
        </w:rPr>
        <w:t xml:space="preserve">HACT offers three cash transfer modalities: </w:t>
      </w:r>
    </w:p>
    <w:p w14:paraId="75790311" w14:textId="77777777" w:rsidR="004002DA" w:rsidRPr="00F12C3C" w:rsidRDefault="004002DA" w:rsidP="004002DA">
      <w:pPr>
        <w:pStyle w:val="ListParagraph"/>
        <w:numPr>
          <w:ilvl w:val="0"/>
          <w:numId w:val="10"/>
        </w:numPr>
        <w:spacing w:before="120" w:after="120" w:line="240" w:lineRule="auto"/>
        <w:contextualSpacing w:val="0"/>
        <w:jc w:val="both"/>
        <w:rPr>
          <w:rFonts w:eastAsia="Arial" w:cs="Arial"/>
          <w:noProof/>
          <w:sz w:val="20"/>
          <w:lang w:val="en-US"/>
        </w:rPr>
      </w:pPr>
      <w:r w:rsidRPr="00F12C3C">
        <w:rPr>
          <w:rFonts w:eastAsia="Arial" w:cs="Arial"/>
          <w:noProof/>
          <w:sz w:val="20"/>
          <w:lang w:val="en-US"/>
        </w:rPr>
        <w:t>Direct cash transfer - UNDP advances cash funds on a quarterly basis (based on agreed work plan) to the IP or RP, who in turn reports back expense through Funding Authorization and Certification of Expenditures (FACE) forms. Note that the recording of expenses, from requisition through to disbursement, occurs in the books of the IP or RP. UNDP is pre-funding the activities with advances of cash. Please refer to UNDP Programme and Operations Policies and Procedures (POPP) on Direct Cash Transfers and Reimbursements).</w:t>
      </w:r>
    </w:p>
    <w:p w14:paraId="3E77A793" w14:textId="77777777" w:rsidR="004002DA" w:rsidRPr="00F12C3C" w:rsidRDefault="004002DA" w:rsidP="004002DA">
      <w:pPr>
        <w:pStyle w:val="ListParagraph"/>
        <w:numPr>
          <w:ilvl w:val="0"/>
          <w:numId w:val="10"/>
        </w:numPr>
        <w:spacing w:before="120" w:after="120" w:line="240" w:lineRule="auto"/>
        <w:contextualSpacing w:val="0"/>
        <w:jc w:val="both"/>
        <w:rPr>
          <w:rFonts w:eastAsia="Arial" w:cs="Arial"/>
          <w:noProof/>
          <w:sz w:val="20"/>
        </w:rPr>
      </w:pPr>
      <w:r w:rsidRPr="00F12C3C">
        <w:rPr>
          <w:rFonts w:eastAsia="Arial" w:cs="Arial"/>
          <w:noProof/>
          <w:sz w:val="20"/>
          <w:lang w:val="en-US"/>
        </w:rPr>
        <w:t xml:space="preserve">Direct payment - The IP or RP carries out the procurement activity but requests UNDP to make the disbursement directly to vendors through FACE. In this arrangement, UNDP is undertaking only the fiduciary function (accounting and banking services, and the disbursement function) on behalf of the IP or RP. </w:t>
      </w:r>
      <w:r w:rsidRPr="00F12C3C">
        <w:rPr>
          <w:rFonts w:eastAsia="Arial" w:cs="Arial"/>
          <w:noProof/>
          <w:sz w:val="20"/>
        </w:rPr>
        <w:t>Please Refer to POPP on  Direct Payments.</w:t>
      </w:r>
    </w:p>
    <w:p w14:paraId="0F648ABF" w14:textId="77777777" w:rsidR="004002DA" w:rsidRPr="00F12C3C" w:rsidRDefault="004002DA" w:rsidP="004002DA">
      <w:pPr>
        <w:pStyle w:val="ListParagraph"/>
        <w:numPr>
          <w:ilvl w:val="0"/>
          <w:numId w:val="10"/>
        </w:numPr>
        <w:spacing w:before="120" w:after="120" w:line="240" w:lineRule="auto"/>
        <w:contextualSpacing w:val="0"/>
        <w:jc w:val="both"/>
        <w:rPr>
          <w:rFonts w:eastAsia="Arial" w:cs="Arial"/>
          <w:noProof/>
          <w:sz w:val="20"/>
          <w:lang w:val="en-US"/>
        </w:rPr>
      </w:pPr>
      <w:r w:rsidRPr="00F12C3C">
        <w:rPr>
          <w:rFonts w:eastAsia="Arial" w:cs="Arial"/>
          <w:noProof/>
          <w:sz w:val="20"/>
          <w:lang w:val="en-US"/>
        </w:rPr>
        <w:t>Reimbursement - Unlike direct cash transfer, a reimbursement arrangement is where UNDP pays the IP or RP after it has made a disbursement based on the annual work plan. The IP or RP needs prior consultation with UNDP before embarking on the pre-financing arrangement. Please refer to POPP on Direct Cash Transfers and Reimbursements.</w:t>
      </w:r>
    </w:p>
    <w:p w14:paraId="1F2B7AC9" w14:textId="77777777" w:rsidR="004002DA" w:rsidRPr="00F12C3C" w:rsidRDefault="004002DA" w:rsidP="004002DA">
      <w:pPr>
        <w:spacing w:before="120" w:after="120"/>
        <w:rPr>
          <w:rFonts w:eastAsia="Arial" w:cs="Arial"/>
          <w:noProof/>
          <w:sz w:val="20"/>
          <w:lang w:val="en-US"/>
        </w:rPr>
      </w:pPr>
      <w:r w:rsidRPr="00F12C3C">
        <w:rPr>
          <w:rFonts w:eastAsia="Arial" w:cs="Arial"/>
          <w:noProof/>
          <w:sz w:val="20"/>
          <w:lang w:val="en-US"/>
        </w:rPr>
        <w:t>It is possible to use all modalities in the same project, for different activities and/or inputs. However, this is not recommended due to this approach’s inherent complexity.</w:t>
      </w:r>
    </w:p>
    <w:p w14:paraId="621229BD" w14:textId="77777777" w:rsidR="004002DA" w:rsidRPr="00F12C3C" w:rsidRDefault="004002DA" w:rsidP="004002DA">
      <w:pPr>
        <w:pStyle w:val="Memoheading"/>
        <w:spacing w:before="120" w:after="120"/>
        <w:jc w:val="both"/>
        <w:rPr>
          <w:rFonts w:ascii="Arial" w:hAnsi="Arial" w:cs="Arial"/>
          <w:lang w:val="en-GB"/>
        </w:rPr>
      </w:pPr>
      <w:r w:rsidRPr="00F12C3C">
        <w:rPr>
          <w:rFonts w:ascii="Arial" w:hAnsi="Arial" w:cs="Arial"/>
          <w:lang w:val="en-GB"/>
        </w:rPr>
        <w:t xml:space="preserve"> </w:t>
      </w:r>
    </w:p>
    <w:p w14:paraId="6DD824C1" w14:textId="77777777" w:rsidR="004002DA" w:rsidRPr="00F12C3C" w:rsidRDefault="004002DA" w:rsidP="002A6590">
      <w:pPr>
        <w:pStyle w:val="Heading1"/>
        <w:keepNext/>
        <w:numPr>
          <w:ilvl w:val="0"/>
          <w:numId w:val="27"/>
        </w:numPr>
        <w:pBdr>
          <w:top w:val="single" w:sz="4" w:space="1" w:color="auto"/>
        </w:pBdr>
        <w:suppressAutoHyphens/>
        <w:spacing w:after="226" w:line="240" w:lineRule="auto"/>
        <w:jc w:val="both"/>
        <w:rPr>
          <w:rFonts w:cs="Arial"/>
          <w:sz w:val="20"/>
        </w:rPr>
      </w:pPr>
      <w:bookmarkStart w:id="23" w:name="_Toc48809750"/>
      <w:r w:rsidRPr="00F12C3C">
        <w:rPr>
          <w:rFonts w:cs="Arial"/>
          <w:sz w:val="20"/>
        </w:rPr>
        <w:t>Visibility</w:t>
      </w:r>
      <w:bookmarkEnd w:id="23"/>
      <w:r w:rsidRPr="00F12C3C">
        <w:rPr>
          <w:rFonts w:cs="Arial"/>
          <w:sz w:val="20"/>
        </w:rPr>
        <w:t xml:space="preserve"> </w:t>
      </w:r>
    </w:p>
    <w:p w14:paraId="1806EBF0" w14:textId="77777777" w:rsidR="004002DA" w:rsidRDefault="004002DA" w:rsidP="004002DA">
      <w:pPr>
        <w:spacing w:before="120" w:after="120"/>
        <w:rPr>
          <w:rFonts w:asciiTheme="minorBidi" w:hAnsiTheme="minorBidi" w:cstheme="minorBidi"/>
          <w:sz w:val="20"/>
          <w:lang w:val="en-US"/>
        </w:rPr>
      </w:pPr>
      <w:r w:rsidRPr="00F12C3C">
        <w:rPr>
          <w:rFonts w:cs="Arial"/>
          <w:sz w:val="20"/>
          <w:lang w:val="en-US"/>
        </w:rPr>
        <w:t xml:space="preserve">74. Donor visibility will be ensured throughout the whole programme operations, including through press releases and any communications material and activity aimed at documenting impact.  Through the donor visibility plan, progress and impact of the project will be tracked and showcased through illustrating </w:t>
      </w:r>
      <w:r w:rsidRPr="00F12C3C">
        <w:rPr>
          <w:rFonts w:cs="Arial"/>
          <w:sz w:val="20"/>
          <w:lang w:val="en-US"/>
        </w:rPr>
        <w:lastRenderedPageBreak/>
        <w:t xml:space="preserve">changes from the baseline, highlighting activities and documenting achievements and results. Clear branding and logo placement will be ensured throughout the whole process. Key messages will highlight right to access health services and increased resilience of Palestinians. The ArcGIS story map is suggested as a platform to communicate human interest stories, photos and videos of the programme’s progress and achievements. This tool will be used along with Kobo Toolbox and </w:t>
      </w:r>
      <w:proofErr w:type="spellStart"/>
      <w:r w:rsidRPr="00F12C3C">
        <w:rPr>
          <w:rFonts w:cs="Arial"/>
          <w:sz w:val="20"/>
          <w:lang w:val="en-US"/>
        </w:rPr>
        <w:t>PowerBi</w:t>
      </w:r>
      <w:proofErr w:type="spellEnd"/>
      <w:r w:rsidRPr="00F12C3C">
        <w:rPr>
          <w:rFonts w:cs="Arial"/>
          <w:sz w:val="20"/>
          <w:lang w:val="en-US"/>
        </w:rPr>
        <w:t xml:space="preserve"> to monitor, report and communicate results using a three-layered approach</w:t>
      </w:r>
      <w:r w:rsidRPr="004002DA">
        <w:rPr>
          <w:rFonts w:asciiTheme="minorBidi" w:hAnsiTheme="minorBidi" w:cstheme="minorBidi"/>
          <w:sz w:val="20"/>
          <w:lang w:val="en-US"/>
        </w:rPr>
        <w:t xml:space="preserve"> (see M&amp;E section below for more details).</w:t>
      </w:r>
    </w:p>
    <w:p w14:paraId="5C961859" w14:textId="77777777" w:rsidR="00F12C3C" w:rsidRPr="004002DA" w:rsidRDefault="00F12C3C" w:rsidP="004002DA">
      <w:pPr>
        <w:spacing w:before="120" w:after="120"/>
        <w:rPr>
          <w:rFonts w:asciiTheme="minorBidi" w:hAnsiTheme="minorBidi" w:cstheme="minorBidi"/>
          <w:sz w:val="20"/>
          <w:lang w:val="en-US"/>
        </w:rPr>
      </w:pPr>
    </w:p>
    <w:p w14:paraId="0530F716" w14:textId="77777777" w:rsidR="004002DA" w:rsidRPr="0041504B" w:rsidRDefault="004002DA" w:rsidP="004002DA">
      <w:pPr>
        <w:pStyle w:val="Caption"/>
        <w:keepNext/>
        <w:rPr>
          <w:rFonts w:asciiTheme="minorBidi" w:hAnsiTheme="minorBidi" w:cstheme="minorBidi"/>
        </w:rPr>
      </w:pPr>
      <w:bookmarkStart w:id="24" w:name="_Toc40980614"/>
      <w:r w:rsidRPr="0041504B">
        <w:rPr>
          <w:rFonts w:asciiTheme="minorBidi" w:hAnsiTheme="minorBidi" w:cstheme="minorBidi"/>
        </w:rPr>
        <w:t xml:space="preserve">Table </w:t>
      </w:r>
      <w:r w:rsidRPr="0041504B">
        <w:rPr>
          <w:rFonts w:asciiTheme="minorBidi" w:hAnsiTheme="minorBidi" w:cstheme="minorBidi"/>
          <w:color w:val="2B579A"/>
          <w:shd w:val="clear" w:color="auto" w:fill="E6E6E6"/>
        </w:rPr>
        <w:fldChar w:fldCharType="begin"/>
      </w:r>
      <w:r w:rsidRPr="0041504B">
        <w:rPr>
          <w:rFonts w:asciiTheme="minorBidi" w:hAnsiTheme="minorBidi" w:cstheme="minorBidi"/>
        </w:rPr>
        <w:instrText xml:space="preserve"> SEQ Table \* ARABIC </w:instrText>
      </w:r>
      <w:r w:rsidRPr="0041504B">
        <w:rPr>
          <w:rFonts w:asciiTheme="minorBidi" w:hAnsiTheme="minorBidi" w:cstheme="minorBidi"/>
          <w:color w:val="2B579A"/>
          <w:shd w:val="clear" w:color="auto" w:fill="E6E6E6"/>
        </w:rPr>
        <w:fldChar w:fldCharType="separate"/>
      </w:r>
      <w:r>
        <w:rPr>
          <w:rFonts w:asciiTheme="minorBidi" w:hAnsiTheme="minorBidi" w:cstheme="minorBidi"/>
          <w:noProof/>
        </w:rPr>
        <w:t>7</w:t>
      </w:r>
      <w:r w:rsidRPr="0041504B">
        <w:rPr>
          <w:rFonts w:asciiTheme="minorBidi" w:hAnsiTheme="minorBidi" w:cstheme="minorBidi"/>
          <w:color w:val="2B579A"/>
          <w:shd w:val="clear" w:color="auto" w:fill="E6E6E6"/>
        </w:rPr>
        <w:fldChar w:fldCharType="end"/>
      </w:r>
      <w:r w:rsidRPr="0041504B">
        <w:rPr>
          <w:rFonts w:asciiTheme="minorBidi" w:hAnsiTheme="minorBidi" w:cstheme="minorBidi"/>
        </w:rPr>
        <w:t>: Visibility Plan</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3901"/>
        <w:gridCol w:w="3402"/>
      </w:tblGrid>
      <w:tr w:rsidR="004002DA" w:rsidRPr="0041504B" w14:paraId="6D32F90C" w14:textId="77777777" w:rsidTr="004002DA">
        <w:trPr>
          <w:trHeight w:val="558"/>
          <w:tblHeader/>
        </w:trPr>
        <w:tc>
          <w:tcPr>
            <w:tcW w:w="1095" w:type="pct"/>
            <w:shd w:val="clear" w:color="auto" w:fill="595959" w:themeFill="text1" w:themeFillTint="A6"/>
            <w:hideMark/>
          </w:tcPr>
          <w:p w14:paraId="4283B7EC" w14:textId="77777777" w:rsidR="004002DA" w:rsidRPr="0041504B" w:rsidRDefault="004002DA" w:rsidP="004002DA">
            <w:pPr>
              <w:spacing w:line="259" w:lineRule="auto"/>
              <w:rPr>
                <w:rFonts w:asciiTheme="minorBidi" w:eastAsiaTheme="minorHAnsi" w:hAnsiTheme="minorBidi" w:cstheme="minorBidi"/>
                <w:b/>
                <w:bCs/>
                <w:color w:val="FFFFFF"/>
                <w:sz w:val="20"/>
                <w:lang w:bidi="ar-JO"/>
              </w:rPr>
            </w:pPr>
            <w:r w:rsidRPr="0041504B">
              <w:rPr>
                <w:rFonts w:asciiTheme="minorBidi" w:eastAsiaTheme="minorHAnsi" w:hAnsiTheme="minorBidi" w:cstheme="minorBidi"/>
                <w:b/>
                <w:bCs/>
                <w:color w:val="FFFFFF"/>
                <w:sz w:val="20"/>
                <w:lang w:bidi="ar-JO"/>
              </w:rPr>
              <w:t>Activity</w:t>
            </w:r>
          </w:p>
        </w:tc>
        <w:tc>
          <w:tcPr>
            <w:tcW w:w="2086" w:type="pct"/>
            <w:shd w:val="clear" w:color="auto" w:fill="595959" w:themeFill="text1" w:themeFillTint="A6"/>
            <w:hideMark/>
          </w:tcPr>
          <w:p w14:paraId="5233A3A9" w14:textId="77777777" w:rsidR="004002DA" w:rsidRPr="0041504B" w:rsidRDefault="004002DA" w:rsidP="004002DA">
            <w:pPr>
              <w:spacing w:line="259" w:lineRule="auto"/>
              <w:rPr>
                <w:rFonts w:asciiTheme="minorBidi" w:eastAsiaTheme="minorHAnsi" w:hAnsiTheme="minorBidi" w:cstheme="minorBidi"/>
                <w:b/>
                <w:bCs/>
                <w:color w:val="FFFFFF"/>
                <w:sz w:val="20"/>
                <w:lang w:bidi="ar-JO"/>
              </w:rPr>
            </w:pPr>
            <w:r w:rsidRPr="0041504B">
              <w:rPr>
                <w:rFonts w:asciiTheme="minorBidi" w:eastAsiaTheme="minorHAnsi" w:hAnsiTheme="minorBidi" w:cstheme="minorBidi"/>
                <w:b/>
                <w:bCs/>
                <w:color w:val="FFFFFF"/>
                <w:sz w:val="20"/>
                <w:lang w:bidi="ar-JO"/>
              </w:rPr>
              <w:t>Visibility items</w:t>
            </w:r>
          </w:p>
        </w:tc>
        <w:tc>
          <w:tcPr>
            <w:tcW w:w="1819" w:type="pct"/>
            <w:shd w:val="clear" w:color="auto" w:fill="595959" w:themeFill="text1" w:themeFillTint="A6"/>
            <w:hideMark/>
          </w:tcPr>
          <w:p w14:paraId="221A7CD0" w14:textId="77777777" w:rsidR="004002DA" w:rsidRPr="0041504B" w:rsidRDefault="004002DA" w:rsidP="004002DA">
            <w:pPr>
              <w:spacing w:line="259" w:lineRule="auto"/>
              <w:rPr>
                <w:rFonts w:asciiTheme="minorBidi" w:eastAsiaTheme="minorHAnsi" w:hAnsiTheme="minorBidi" w:cstheme="minorBidi"/>
                <w:b/>
                <w:bCs/>
                <w:color w:val="FFFFFF"/>
                <w:sz w:val="20"/>
                <w:lang w:bidi="ar-JO"/>
              </w:rPr>
            </w:pPr>
            <w:r w:rsidRPr="0041504B">
              <w:rPr>
                <w:rFonts w:asciiTheme="minorBidi" w:eastAsiaTheme="minorHAnsi" w:hAnsiTheme="minorBidi" w:cstheme="minorBidi"/>
                <w:b/>
                <w:bCs/>
                <w:color w:val="FFFFFF"/>
                <w:sz w:val="20"/>
                <w:lang w:bidi="ar-JO"/>
              </w:rPr>
              <w:t>Communication output</w:t>
            </w:r>
          </w:p>
        </w:tc>
      </w:tr>
      <w:tr w:rsidR="004002DA" w:rsidRPr="0041504B" w14:paraId="44CBA210" w14:textId="77777777" w:rsidTr="004002DA">
        <w:trPr>
          <w:trHeight w:val="802"/>
        </w:trPr>
        <w:tc>
          <w:tcPr>
            <w:tcW w:w="1095" w:type="pct"/>
            <w:tcBorders>
              <w:bottom w:val="single" w:sz="4" w:space="0" w:color="auto"/>
            </w:tcBorders>
            <w:shd w:val="clear" w:color="auto" w:fill="F2F2F2" w:themeFill="background1" w:themeFillShade="F2"/>
          </w:tcPr>
          <w:p w14:paraId="5789381F" w14:textId="77777777" w:rsidR="004002DA" w:rsidRPr="00F12C3C" w:rsidRDefault="004002DA" w:rsidP="004002DA">
            <w:pPr>
              <w:rPr>
                <w:rFonts w:eastAsiaTheme="minorHAnsi" w:cs="Arial"/>
                <w:iCs/>
                <w:sz w:val="20"/>
                <w:lang w:bidi="ar-JO"/>
              </w:rPr>
            </w:pPr>
            <w:r w:rsidRPr="00F12C3C">
              <w:rPr>
                <w:rFonts w:eastAsiaTheme="minorHAnsi" w:cs="Arial"/>
                <w:iCs/>
                <w:sz w:val="20"/>
                <w:lang w:bidi="ar-JO"/>
              </w:rPr>
              <w:t>Project launch ceremony</w:t>
            </w:r>
          </w:p>
        </w:tc>
        <w:tc>
          <w:tcPr>
            <w:tcW w:w="2086" w:type="pct"/>
            <w:shd w:val="clear" w:color="auto" w:fill="F2F2F2" w:themeFill="background1" w:themeFillShade="F2"/>
          </w:tcPr>
          <w:p w14:paraId="463AD35B" w14:textId="77777777" w:rsidR="004002DA" w:rsidRPr="00F12C3C" w:rsidRDefault="004002DA" w:rsidP="004002DA">
            <w:pPr>
              <w:rPr>
                <w:rFonts w:eastAsiaTheme="minorHAnsi" w:cs="Arial"/>
                <w:sz w:val="20"/>
                <w:lang w:val="en-US" w:bidi="ar-JO"/>
              </w:rPr>
            </w:pPr>
            <w:r w:rsidRPr="00F12C3C">
              <w:rPr>
                <w:rFonts w:eastAsiaTheme="minorHAnsi" w:cs="Arial"/>
                <w:sz w:val="20"/>
                <w:lang w:val="en-US" w:bidi="ar-JO"/>
              </w:rPr>
              <w:t xml:space="preserve">Government of Germany, </w:t>
            </w:r>
            <w:proofErr w:type="spellStart"/>
            <w:r w:rsidRPr="00F12C3C">
              <w:rPr>
                <w:rFonts w:eastAsiaTheme="minorHAnsi" w:cs="Arial"/>
                <w:sz w:val="20"/>
                <w:lang w:val="en-US" w:bidi="ar-JO"/>
              </w:rPr>
              <w:t>KfW</w:t>
            </w:r>
            <w:proofErr w:type="spellEnd"/>
            <w:r w:rsidRPr="00F12C3C">
              <w:rPr>
                <w:rFonts w:eastAsiaTheme="minorHAnsi" w:cs="Arial"/>
                <w:sz w:val="20"/>
                <w:lang w:val="en-US" w:bidi="ar-JO"/>
              </w:rPr>
              <w:t xml:space="preserve"> and UN flags</w:t>
            </w:r>
          </w:p>
          <w:p w14:paraId="59CB1895" w14:textId="77777777" w:rsidR="004002DA" w:rsidRPr="00F12C3C" w:rsidRDefault="004002DA" w:rsidP="004002DA">
            <w:pPr>
              <w:rPr>
                <w:rFonts w:eastAsiaTheme="minorHAnsi" w:cs="Arial"/>
                <w:sz w:val="20"/>
                <w:lang w:val="en-US" w:bidi="ar-JO"/>
              </w:rPr>
            </w:pPr>
            <w:r w:rsidRPr="00F12C3C">
              <w:rPr>
                <w:rFonts w:eastAsiaTheme="minorHAnsi" w:cs="Arial"/>
                <w:sz w:val="20"/>
                <w:lang w:val="en-US" w:bidi="ar-JO"/>
              </w:rPr>
              <w:t xml:space="preserve">Roll ups and banner displaying logos of Government of Germany, </w:t>
            </w:r>
            <w:proofErr w:type="spellStart"/>
            <w:r w:rsidRPr="00F12C3C">
              <w:rPr>
                <w:rFonts w:eastAsiaTheme="minorHAnsi" w:cs="Arial"/>
                <w:sz w:val="20"/>
                <w:lang w:val="en-US" w:bidi="ar-JO"/>
              </w:rPr>
              <w:t>KfW</w:t>
            </w:r>
            <w:proofErr w:type="spellEnd"/>
            <w:r w:rsidRPr="00F12C3C">
              <w:rPr>
                <w:rFonts w:eastAsiaTheme="minorHAnsi" w:cs="Arial"/>
                <w:sz w:val="20"/>
                <w:lang w:val="en-US" w:bidi="ar-JO"/>
              </w:rPr>
              <w:t>, UNDP and recipients.</w:t>
            </w:r>
          </w:p>
        </w:tc>
        <w:tc>
          <w:tcPr>
            <w:tcW w:w="1819" w:type="pct"/>
            <w:shd w:val="clear" w:color="auto" w:fill="F2F2F2" w:themeFill="background1" w:themeFillShade="F2"/>
          </w:tcPr>
          <w:p w14:paraId="5F7AF3C1" w14:textId="77777777" w:rsidR="004002DA" w:rsidRPr="00F12C3C" w:rsidRDefault="004002DA" w:rsidP="004002DA">
            <w:pPr>
              <w:rPr>
                <w:rFonts w:eastAsiaTheme="minorHAnsi" w:cs="Arial"/>
                <w:sz w:val="20"/>
                <w:lang w:bidi="ar-JO"/>
              </w:rPr>
            </w:pPr>
            <w:r w:rsidRPr="00F12C3C">
              <w:rPr>
                <w:rFonts w:eastAsiaTheme="minorHAnsi" w:cs="Arial"/>
                <w:sz w:val="20"/>
                <w:lang w:bidi="ar-JO"/>
              </w:rPr>
              <w:t>Press release</w:t>
            </w:r>
          </w:p>
          <w:p w14:paraId="0AE614F9" w14:textId="77777777" w:rsidR="004002DA" w:rsidRPr="00F12C3C" w:rsidRDefault="004002DA" w:rsidP="004002DA">
            <w:pPr>
              <w:rPr>
                <w:rFonts w:eastAsiaTheme="minorHAnsi" w:cs="Arial"/>
                <w:sz w:val="20"/>
                <w:lang w:bidi="ar-JO"/>
              </w:rPr>
            </w:pPr>
            <w:r w:rsidRPr="00F12C3C">
              <w:rPr>
                <w:rFonts w:eastAsiaTheme="minorHAnsi" w:cs="Arial"/>
                <w:sz w:val="20"/>
                <w:lang w:bidi="ar-JO"/>
              </w:rPr>
              <w:t>Photography</w:t>
            </w:r>
          </w:p>
          <w:p w14:paraId="37BF507A" w14:textId="77777777" w:rsidR="004002DA" w:rsidRPr="00F12C3C" w:rsidRDefault="004002DA" w:rsidP="004002DA">
            <w:pPr>
              <w:rPr>
                <w:rFonts w:eastAsiaTheme="minorHAnsi" w:cs="Arial"/>
                <w:sz w:val="20"/>
                <w:lang w:bidi="ar-JO"/>
              </w:rPr>
            </w:pPr>
            <w:r w:rsidRPr="00F12C3C">
              <w:rPr>
                <w:rFonts w:eastAsiaTheme="minorHAnsi" w:cs="Arial"/>
                <w:sz w:val="20"/>
                <w:lang w:bidi="ar-JO"/>
              </w:rPr>
              <w:t>Social media</w:t>
            </w:r>
          </w:p>
          <w:p w14:paraId="417F1EC1" w14:textId="77777777" w:rsidR="004002DA" w:rsidRPr="00F12C3C" w:rsidRDefault="004002DA" w:rsidP="004002DA">
            <w:pPr>
              <w:rPr>
                <w:rFonts w:eastAsiaTheme="minorHAnsi" w:cs="Arial"/>
                <w:sz w:val="20"/>
                <w:lang w:bidi="ar-JO"/>
              </w:rPr>
            </w:pPr>
          </w:p>
        </w:tc>
      </w:tr>
      <w:tr w:rsidR="004002DA" w:rsidRPr="0041504B" w14:paraId="1F4ED63F" w14:textId="77777777" w:rsidTr="004002DA">
        <w:trPr>
          <w:trHeight w:val="590"/>
        </w:trPr>
        <w:tc>
          <w:tcPr>
            <w:tcW w:w="1095" w:type="pct"/>
            <w:shd w:val="clear" w:color="auto" w:fill="F2F2F2" w:themeFill="background1" w:themeFillShade="F2"/>
          </w:tcPr>
          <w:p w14:paraId="53151262" w14:textId="77777777" w:rsidR="004002DA" w:rsidRPr="00F12C3C" w:rsidRDefault="004002DA" w:rsidP="004002DA">
            <w:pPr>
              <w:rPr>
                <w:rFonts w:eastAsiaTheme="minorHAnsi" w:cs="Arial"/>
                <w:iCs/>
                <w:sz w:val="20"/>
                <w:lang w:bidi="ar-JO"/>
              </w:rPr>
            </w:pPr>
            <w:r w:rsidRPr="00F12C3C">
              <w:rPr>
                <w:rFonts w:eastAsiaTheme="minorHAnsi" w:cs="Arial"/>
                <w:iCs/>
                <w:sz w:val="20"/>
                <w:lang w:bidi="ar-JO"/>
              </w:rPr>
              <w:t>Establishment of technical committee</w:t>
            </w:r>
          </w:p>
        </w:tc>
        <w:tc>
          <w:tcPr>
            <w:tcW w:w="2086" w:type="pct"/>
            <w:shd w:val="clear" w:color="auto" w:fill="F2F2F2" w:themeFill="background1" w:themeFillShade="F2"/>
          </w:tcPr>
          <w:p w14:paraId="6A6F19E2" w14:textId="77777777" w:rsidR="004002DA" w:rsidRPr="00F12C3C" w:rsidRDefault="004002DA" w:rsidP="004002DA">
            <w:pPr>
              <w:rPr>
                <w:rFonts w:eastAsiaTheme="minorHAnsi" w:cs="Arial"/>
                <w:sz w:val="20"/>
                <w:lang w:val="en-US" w:bidi="ar-JO"/>
              </w:rPr>
            </w:pPr>
            <w:r w:rsidRPr="00F12C3C">
              <w:rPr>
                <w:rFonts w:eastAsiaTheme="minorHAnsi" w:cs="Arial"/>
                <w:sz w:val="20"/>
                <w:lang w:val="en-US" w:bidi="ar-JO"/>
              </w:rPr>
              <w:t xml:space="preserve">Roll up displaying logos of Government of Germany, </w:t>
            </w:r>
            <w:proofErr w:type="spellStart"/>
            <w:r w:rsidRPr="00F12C3C">
              <w:rPr>
                <w:rFonts w:eastAsiaTheme="minorHAnsi" w:cs="Arial"/>
                <w:sz w:val="20"/>
                <w:lang w:val="en-US" w:bidi="ar-JO"/>
              </w:rPr>
              <w:t>KfW</w:t>
            </w:r>
            <w:proofErr w:type="spellEnd"/>
            <w:r w:rsidRPr="00F12C3C">
              <w:rPr>
                <w:rFonts w:eastAsiaTheme="minorHAnsi" w:cs="Arial"/>
                <w:sz w:val="20"/>
                <w:lang w:val="en-US" w:bidi="ar-JO"/>
              </w:rPr>
              <w:t xml:space="preserve"> and UNDP</w:t>
            </w:r>
          </w:p>
        </w:tc>
        <w:tc>
          <w:tcPr>
            <w:tcW w:w="1819" w:type="pct"/>
            <w:shd w:val="clear" w:color="auto" w:fill="F2F2F2" w:themeFill="background1" w:themeFillShade="F2"/>
          </w:tcPr>
          <w:p w14:paraId="4340DC9A" w14:textId="77777777" w:rsidR="004002DA" w:rsidRPr="00F12C3C" w:rsidRDefault="004002DA" w:rsidP="004002DA">
            <w:pPr>
              <w:rPr>
                <w:rFonts w:eastAsiaTheme="minorHAnsi" w:cs="Arial"/>
                <w:sz w:val="20"/>
                <w:lang w:bidi="ar-JO"/>
              </w:rPr>
            </w:pPr>
            <w:r w:rsidRPr="00F12C3C">
              <w:rPr>
                <w:rFonts w:eastAsiaTheme="minorHAnsi" w:cs="Arial"/>
                <w:sz w:val="20"/>
                <w:lang w:bidi="ar-JO"/>
              </w:rPr>
              <w:t>Photography</w:t>
            </w:r>
          </w:p>
          <w:p w14:paraId="2A5BD032" w14:textId="77777777" w:rsidR="004002DA" w:rsidRPr="00F12C3C" w:rsidRDefault="004002DA" w:rsidP="004002DA">
            <w:pPr>
              <w:rPr>
                <w:rFonts w:eastAsiaTheme="minorHAnsi" w:cs="Arial"/>
                <w:sz w:val="20"/>
                <w:lang w:bidi="ar-JO"/>
              </w:rPr>
            </w:pPr>
            <w:r w:rsidRPr="00F12C3C">
              <w:rPr>
                <w:rFonts w:eastAsiaTheme="minorHAnsi" w:cs="Arial"/>
                <w:sz w:val="20"/>
                <w:lang w:bidi="ar-JO"/>
              </w:rPr>
              <w:t>Press release</w:t>
            </w:r>
          </w:p>
        </w:tc>
      </w:tr>
      <w:tr w:rsidR="004002DA" w:rsidRPr="006F767C" w14:paraId="6BC3C6F7" w14:textId="77777777" w:rsidTr="004002DA">
        <w:trPr>
          <w:trHeight w:val="991"/>
        </w:trPr>
        <w:tc>
          <w:tcPr>
            <w:tcW w:w="1095" w:type="pct"/>
            <w:shd w:val="clear" w:color="auto" w:fill="F2F2F2" w:themeFill="background1" w:themeFillShade="F2"/>
          </w:tcPr>
          <w:p w14:paraId="2E7DFEB0" w14:textId="77777777" w:rsidR="004002DA" w:rsidRPr="00F12C3C" w:rsidRDefault="004002DA" w:rsidP="004002DA">
            <w:pPr>
              <w:rPr>
                <w:rFonts w:eastAsiaTheme="minorHAnsi" w:cs="Arial"/>
                <w:iCs/>
                <w:sz w:val="20"/>
                <w:lang w:val="en-US" w:bidi="ar-JO"/>
              </w:rPr>
            </w:pPr>
            <w:r w:rsidRPr="00F12C3C">
              <w:rPr>
                <w:rFonts w:eastAsiaTheme="minorHAnsi" w:cs="Arial"/>
                <w:iCs/>
                <w:sz w:val="20"/>
                <w:lang w:val="en-US" w:bidi="ar-JO"/>
              </w:rPr>
              <w:t>Starting implementation and handing over of activities</w:t>
            </w:r>
          </w:p>
        </w:tc>
        <w:tc>
          <w:tcPr>
            <w:tcW w:w="2086" w:type="pct"/>
            <w:shd w:val="clear" w:color="auto" w:fill="F2F2F2" w:themeFill="background1" w:themeFillShade="F2"/>
          </w:tcPr>
          <w:p w14:paraId="32A06A93" w14:textId="77777777" w:rsidR="004002DA" w:rsidRPr="00F12C3C" w:rsidRDefault="004002DA" w:rsidP="004002DA">
            <w:pPr>
              <w:rPr>
                <w:rFonts w:eastAsiaTheme="minorHAnsi" w:cs="Arial"/>
                <w:sz w:val="20"/>
                <w:lang w:bidi="ar-JO"/>
              </w:rPr>
            </w:pPr>
            <w:r w:rsidRPr="00F12C3C">
              <w:rPr>
                <w:rFonts w:eastAsiaTheme="minorHAnsi" w:cs="Arial"/>
                <w:sz w:val="20"/>
                <w:lang w:bidi="ar-JO"/>
              </w:rPr>
              <w:t>Banners</w:t>
            </w:r>
          </w:p>
          <w:p w14:paraId="4F254B90" w14:textId="77777777" w:rsidR="004002DA" w:rsidRPr="00F12C3C" w:rsidRDefault="004002DA" w:rsidP="004002DA">
            <w:pPr>
              <w:rPr>
                <w:rFonts w:eastAsiaTheme="minorHAnsi" w:cs="Arial"/>
                <w:sz w:val="20"/>
                <w:lang w:bidi="ar-JO"/>
              </w:rPr>
            </w:pPr>
            <w:r w:rsidRPr="00F12C3C">
              <w:rPr>
                <w:rFonts w:eastAsiaTheme="minorHAnsi" w:cs="Arial"/>
                <w:sz w:val="20"/>
                <w:lang w:bidi="ar-JO"/>
              </w:rPr>
              <w:t>Roll ups</w:t>
            </w:r>
          </w:p>
          <w:p w14:paraId="64D0BC0F" w14:textId="77777777" w:rsidR="004002DA" w:rsidRPr="00F12C3C" w:rsidRDefault="004002DA" w:rsidP="004002DA">
            <w:pPr>
              <w:rPr>
                <w:rFonts w:eastAsiaTheme="minorHAnsi" w:cs="Arial"/>
                <w:sz w:val="20"/>
                <w:lang w:bidi="ar-JO"/>
              </w:rPr>
            </w:pPr>
            <w:r w:rsidRPr="00F12C3C">
              <w:rPr>
                <w:rFonts w:eastAsiaTheme="minorHAnsi" w:cs="Arial"/>
                <w:sz w:val="20"/>
                <w:lang w:bidi="ar-JO"/>
              </w:rPr>
              <w:t>Flags</w:t>
            </w:r>
          </w:p>
        </w:tc>
        <w:tc>
          <w:tcPr>
            <w:tcW w:w="1819" w:type="pct"/>
            <w:shd w:val="clear" w:color="auto" w:fill="F2F2F2" w:themeFill="background1" w:themeFillShade="F2"/>
          </w:tcPr>
          <w:p w14:paraId="36CB891B" w14:textId="77777777" w:rsidR="004002DA" w:rsidRPr="00F12C3C" w:rsidRDefault="004002DA" w:rsidP="004002DA">
            <w:pPr>
              <w:rPr>
                <w:rFonts w:eastAsiaTheme="minorHAnsi" w:cs="Arial"/>
                <w:sz w:val="20"/>
                <w:lang w:val="en-US" w:bidi="ar-JO"/>
              </w:rPr>
            </w:pPr>
            <w:r w:rsidRPr="00F12C3C">
              <w:rPr>
                <w:rFonts w:eastAsiaTheme="minorHAnsi" w:cs="Arial"/>
                <w:sz w:val="20"/>
                <w:lang w:val="en-US" w:bidi="ar-JO"/>
              </w:rPr>
              <w:t>Press release</w:t>
            </w:r>
          </w:p>
          <w:p w14:paraId="39579BBD" w14:textId="77777777" w:rsidR="004002DA" w:rsidRPr="00F12C3C" w:rsidRDefault="004002DA" w:rsidP="004002DA">
            <w:pPr>
              <w:rPr>
                <w:rFonts w:eastAsiaTheme="minorHAnsi" w:cs="Arial"/>
                <w:sz w:val="20"/>
                <w:lang w:val="en-US" w:bidi="ar-JO"/>
              </w:rPr>
            </w:pPr>
            <w:r w:rsidRPr="00F12C3C">
              <w:rPr>
                <w:rFonts w:eastAsiaTheme="minorHAnsi" w:cs="Arial"/>
                <w:sz w:val="20"/>
                <w:lang w:val="en-US" w:bidi="ar-JO"/>
              </w:rPr>
              <w:t xml:space="preserve">Social media </w:t>
            </w:r>
          </w:p>
          <w:p w14:paraId="70FE6DB6" w14:textId="77777777" w:rsidR="004002DA" w:rsidRPr="00F12C3C" w:rsidRDefault="004002DA" w:rsidP="004002DA">
            <w:pPr>
              <w:rPr>
                <w:rFonts w:eastAsiaTheme="minorHAnsi" w:cs="Arial"/>
                <w:sz w:val="20"/>
                <w:lang w:val="en-US" w:bidi="ar-JO"/>
              </w:rPr>
            </w:pPr>
            <w:r w:rsidRPr="00F12C3C">
              <w:rPr>
                <w:rFonts w:eastAsiaTheme="minorHAnsi" w:cs="Arial"/>
                <w:sz w:val="20"/>
                <w:lang w:val="en-US" w:bidi="ar-JO"/>
              </w:rPr>
              <w:t>Photography and videography</w:t>
            </w:r>
          </w:p>
        </w:tc>
      </w:tr>
      <w:tr w:rsidR="004002DA" w:rsidRPr="006F767C" w14:paraId="5E651294" w14:textId="77777777" w:rsidTr="004002DA">
        <w:trPr>
          <w:trHeight w:val="221"/>
        </w:trPr>
        <w:tc>
          <w:tcPr>
            <w:tcW w:w="1095" w:type="pct"/>
            <w:shd w:val="clear" w:color="auto" w:fill="F2F2F2" w:themeFill="background1" w:themeFillShade="F2"/>
          </w:tcPr>
          <w:p w14:paraId="50B4E8A4" w14:textId="77777777" w:rsidR="004002DA" w:rsidRPr="00F12C3C" w:rsidRDefault="004002DA" w:rsidP="004002DA">
            <w:pPr>
              <w:rPr>
                <w:rFonts w:eastAsiaTheme="minorHAnsi" w:cs="Arial"/>
                <w:iCs/>
                <w:sz w:val="20"/>
                <w:lang w:bidi="ar-JO"/>
              </w:rPr>
            </w:pPr>
            <w:r w:rsidRPr="00F12C3C">
              <w:rPr>
                <w:rFonts w:eastAsiaTheme="minorHAnsi" w:cs="Arial"/>
                <w:iCs/>
                <w:sz w:val="20"/>
                <w:lang w:bidi="ar-JO"/>
              </w:rPr>
              <w:t>Documenting impact</w:t>
            </w:r>
          </w:p>
        </w:tc>
        <w:tc>
          <w:tcPr>
            <w:tcW w:w="2086" w:type="pct"/>
            <w:shd w:val="clear" w:color="auto" w:fill="F2F2F2" w:themeFill="background1" w:themeFillShade="F2"/>
          </w:tcPr>
          <w:p w14:paraId="474DBF9B" w14:textId="77777777" w:rsidR="004002DA" w:rsidRPr="00F12C3C" w:rsidRDefault="004002DA" w:rsidP="004002DA">
            <w:pPr>
              <w:rPr>
                <w:rFonts w:eastAsiaTheme="minorHAnsi" w:cs="Arial"/>
                <w:sz w:val="20"/>
                <w:lang w:bidi="ar-JO"/>
              </w:rPr>
            </w:pPr>
            <w:r w:rsidRPr="00F12C3C">
              <w:rPr>
                <w:rFonts w:eastAsiaTheme="minorHAnsi" w:cs="Arial"/>
                <w:sz w:val="20"/>
                <w:lang w:bidi="ar-JO"/>
              </w:rPr>
              <w:t>Infographic</w:t>
            </w:r>
          </w:p>
          <w:p w14:paraId="0CBC89F5" w14:textId="77777777" w:rsidR="004002DA" w:rsidRPr="00F12C3C" w:rsidRDefault="004002DA" w:rsidP="004002DA">
            <w:pPr>
              <w:rPr>
                <w:rFonts w:eastAsiaTheme="minorHAnsi" w:cs="Arial"/>
                <w:sz w:val="20"/>
                <w:lang w:bidi="ar-JO"/>
              </w:rPr>
            </w:pPr>
            <w:r w:rsidRPr="00F12C3C">
              <w:rPr>
                <w:rFonts w:eastAsiaTheme="minorHAnsi" w:cs="Arial"/>
                <w:sz w:val="20"/>
                <w:lang w:bidi="ar-JO"/>
              </w:rPr>
              <w:t>Stories</w:t>
            </w:r>
          </w:p>
          <w:p w14:paraId="38053E04" w14:textId="77777777" w:rsidR="004002DA" w:rsidRPr="00F12C3C" w:rsidRDefault="004002DA" w:rsidP="004002DA">
            <w:pPr>
              <w:rPr>
                <w:rFonts w:eastAsiaTheme="minorHAnsi" w:cs="Arial"/>
                <w:sz w:val="20"/>
                <w:lang w:bidi="ar-JO"/>
              </w:rPr>
            </w:pPr>
          </w:p>
          <w:p w14:paraId="3C28FA44" w14:textId="77777777" w:rsidR="004002DA" w:rsidRPr="00F12C3C" w:rsidRDefault="004002DA" w:rsidP="004002DA">
            <w:pPr>
              <w:rPr>
                <w:rFonts w:eastAsiaTheme="minorHAnsi" w:cs="Arial"/>
                <w:sz w:val="20"/>
              </w:rPr>
            </w:pPr>
          </w:p>
          <w:p w14:paraId="0B15E23E" w14:textId="77777777" w:rsidR="004002DA" w:rsidRPr="00F12C3C" w:rsidRDefault="004002DA" w:rsidP="004002DA">
            <w:pPr>
              <w:rPr>
                <w:rFonts w:eastAsiaTheme="minorHAnsi" w:cs="Arial"/>
                <w:sz w:val="20"/>
                <w:lang w:bidi="ar-JO"/>
              </w:rPr>
            </w:pPr>
          </w:p>
          <w:p w14:paraId="61950856" w14:textId="77777777" w:rsidR="004002DA" w:rsidRPr="00F12C3C" w:rsidRDefault="004002DA" w:rsidP="004002DA">
            <w:pPr>
              <w:rPr>
                <w:rFonts w:eastAsiaTheme="minorHAnsi" w:cs="Arial"/>
                <w:sz w:val="20"/>
                <w:lang w:bidi="ar-JO"/>
              </w:rPr>
            </w:pPr>
            <w:r w:rsidRPr="00F12C3C">
              <w:rPr>
                <w:rFonts w:eastAsiaTheme="minorHAnsi" w:cs="Arial"/>
                <w:sz w:val="20"/>
                <w:lang w:bidi="ar-JO"/>
              </w:rPr>
              <w:t xml:space="preserve"> </w:t>
            </w:r>
          </w:p>
        </w:tc>
        <w:tc>
          <w:tcPr>
            <w:tcW w:w="1819" w:type="pct"/>
            <w:shd w:val="clear" w:color="auto" w:fill="F2F2F2" w:themeFill="background1" w:themeFillShade="F2"/>
          </w:tcPr>
          <w:p w14:paraId="2D6DC4B4" w14:textId="77777777" w:rsidR="004002DA" w:rsidRPr="00F12C3C" w:rsidRDefault="004002DA" w:rsidP="004002DA">
            <w:pPr>
              <w:rPr>
                <w:rFonts w:eastAsiaTheme="minorHAnsi" w:cs="Arial"/>
                <w:sz w:val="20"/>
                <w:lang w:val="en-US" w:bidi="ar-JO"/>
              </w:rPr>
            </w:pPr>
            <w:r w:rsidRPr="00F12C3C">
              <w:rPr>
                <w:rFonts w:eastAsiaTheme="minorHAnsi" w:cs="Arial"/>
                <w:sz w:val="20"/>
                <w:lang w:val="en-US" w:bidi="ar-JO"/>
              </w:rPr>
              <w:t>Photo-based stories with statements from both benefiting hospitals and 2 patients</w:t>
            </w:r>
          </w:p>
          <w:p w14:paraId="671FF1B9" w14:textId="77777777" w:rsidR="004002DA" w:rsidRPr="00F12C3C" w:rsidRDefault="004002DA" w:rsidP="004002DA">
            <w:pPr>
              <w:rPr>
                <w:rFonts w:eastAsiaTheme="minorHAnsi" w:cs="Arial"/>
                <w:sz w:val="20"/>
                <w:lang w:val="en-US" w:bidi="ar-JO"/>
              </w:rPr>
            </w:pPr>
            <w:r w:rsidRPr="00F12C3C">
              <w:rPr>
                <w:rFonts w:eastAsiaTheme="minorHAnsi" w:cs="Arial"/>
                <w:sz w:val="20"/>
                <w:lang w:val="en-US" w:bidi="ar-JO"/>
              </w:rPr>
              <w:t>Three (3) 1.5-minute video capturing impact through the lifecycle of IPR</w:t>
            </w:r>
          </w:p>
          <w:p w14:paraId="4F893939" w14:textId="77777777" w:rsidR="004002DA" w:rsidRPr="00F12C3C" w:rsidRDefault="004002DA" w:rsidP="004002DA">
            <w:pPr>
              <w:rPr>
                <w:rFonts w:eastAsiaTheme="minorHAnsi" w:cs="Arial"/>
                <w:sz w:val="20"/>
                <w:lang w:val="en-US" w:bidi="ar-JO"/>
              </w:rPr>
            </w:pPr>
            <w:r w:rsidRPr="00F12C3C">
              <w:rPr>
                <w:rFonts w:eastAsiaTheme="minorHAnsi" w:cs="Arial"/>
                <w:sz w:val="20"/>
                <w:lang w:val="en-US" w:bidi="ar-JO"/>
              </w:rPr>
              <w:t>Social media (minimum five twitter and Facebook posts) on monthly basis</w:t>
            </w:r>
          </w:p>
        </w:tc>
      </w:tr>
      <w:tr w:rsidR="004002DA" w:rsidRPr="006F767C" w14:paraId="27A6788E" w14:textId="77777777" w:rsidTr="004002DA">
        <w:trPr>
          <w:trHeight w:val="221"/>
        </w:trPr>
        <w:tc>
          <w:tcPr>
            <w:tcW w:w="1095" w:type="pct"/>
            <w:shd w:val="clear" w:color="auto" w:fill="F2F2F2" w:themeFill="background1" w:themeFillShade="F2"/>
          </w:tcPr>
          <w:p w14:paraId="66868D8E" w14:textId="77777777" w:rsidR="004002DA" w:rsidRPr="00F12C3C" w:rsidRDefault="004002DA" w:rsidP="004002DA">
            <w:pPr>
              <w:rPr>
                <w:rFonts w:eastAsiaTheme="minorEastAsia" w:cs="Arial"/>
                <w:sz w:val="20"/>
                <w:lang w:val="en-US" w:bidi="ar-JO"/>
              </w:rPr>
            </w:pPr>
            <w:r w:rsidRPr="00F12C3C">
              <w:rPr>
                <w:rFonts w:eastAsiaTheme="minorEastAsia" w:cs="Arial"/>
                <w:sz w:val="20"/>
                <w:lang w:val="en-US" w:bidi="ar-JO"/>
              </w:rPr>
              <w:t xml:space="preserve">Visibility through data visualization platforms such as </w:t>
            </w:r>
            <w:proofErr w:type="spellStart"/>
            <w:r w:rsidRPr="00F12C3C">
              <w:rPr>
                <w:rFonts w:eastAsiaTheme="minorEastAsia" w:cs="Arial"/>
                <w:sz w:val="20"/>
                <w:lang w:val="en-US" w:bidi="ar-JO"/>
              </w:rPr>
              <w:t>PowerBI</w:t>
            </w:r>
            <w:proofErr w:type="spellEnd"/>
            <w:r w:rsidRPr="00F12C3C">
              <w:rPr>
                <w:rFonts w:eastAsiaTheme="minorEastAsia" w:cs="Arial"/>
                <w:sz w:val="20"/>
                <w:lang w:val="en-US" w:bidi="ar-JO"/>
              </w:rPr>
              <w:t xml:space="preserve"> and ArcGIS Story Map </w:t>
            </w:r>
          </w:p>
        </w:tc>
        <w:tc>
          <w:tcPr>
            <w:tcW w:w="2086" w:type="pct"/>
            <w:shd w:val="clear" w:color="auto" w:fill="F2F2F2" w:themeFill="background1" w:themeFillShade="F2"/>
          </w:tcPr>
          <w:p w14:paraId="52F17FF7" w14:textId="77777777" w:rsidR="004002DA" w:rsidRPr="00F12C3C" w:rsidRDefault="004002DA" w:rsidP="004002DA">
            <w:pPr>
              <w:rPr>
                <w:rFonts w:eastAsiaTheme="minorEastAsia" w:cs="Arial"/>
                <w:sz w:val="20"/>
                <w:lang w:bidi="ar-JO"/>
              </w:rPr>
            </w:pPr>
            <w:r w:rsidRPr="00F12C3C">
              <w:rPr>
                <w:rFonts w:eastAsiaTheme="minorEastAsia" w:cs="Arial"/>
                <w:sz w:val="20"/>
                <w:lang w:bidi="ar-JO"/>
              </w:rPr>
              <w:t>Infographic</w:t>
            </w:r>
          </w:p>
          <w:p w14:paraId="15C6F87B" w14:textId="77777777" w:rsidR="004002DA" w:rsidRPr="00F12C3C" w:rsidRDefault="004002DA" w:rsidP="004002DA">
            <w:pPr>
              <w:rPr>
                <w:rFonts w:eastAsiaTheme="minorEastAsia" w:cs="Arial"/>
                <w:sz w:val="20"/>
                <w:lang w:bidi="ar-JO"/>
              </w:rPr>
            </w:pPr>
            <w:r w:rsidRPr="00F12C3C">
              <w:rPr>
                <w:rFonts w:eastAsiaTheme="minorEastAsia" w:cs="Arial"/>
                <w:sz w:val="20"/>
                <w:lang w:bidi="ar-JO"/>
              </w:rPr>
              <w:t>Stories</w:t>
            </w:r>
          </w:p>
          <w:p w14:paraId="0D3740AE" w14:textId="77777777" w:rsidR="004002DA" w:rsidRPr="00F12C3C" w:rsidRDefault="004002DA" w:rsidP="004002DA">
            <w:pPr>
              <w:rPr>
                <w:rFonts w:eastAsiaTheme="minorEastAsia" w:cs="Arial"/>
                <w:sz w:val="20"/>
                <w:lang w:bidi="ar-JO"/>
              </w:rPr>
            </w:pPr>
          </w:p>
        </w:tc>
        <w:tc>
          <w:tcPr>
            <w:tcW w:w="1819" w:type="pct"/>
            <w:shd w:val="clear" w:color="auto" w:fill="F2F2F2" w:themeFill="background1" w:themeFillShade="F2"/>
          </w:tcPr>
          <w:p w14:paraId="1BB91D51" w14:textId="77777777" w:rsidR="004002DA" w:rsidRPr="00F12C3C" w:rsidRDefault="004002DA" w:rsidP="004002DA">
            <w:pPr>
              <w:rPr>
                <w:rFonts w:eastAsiaTheme="minorEastAsia" w:cs="Arial"/>
                <w:sz w:val="20"/>
                <w:lang w:val="en-US" w:bidi="ar-JO"/>
              </w:rPr>
            </w:pPr>
            <w:r w:rsidRPr="00F12C3C">
              <w:rPr>
                <w:rFonts w:eastAsiaTheme="minorEastAsia" w:cs="Arial"/>
                <w:sz w:val="20"/>
                <w:lang w:val="en-US" w:bidi="ar-JO"/>
              </w:rPr>
              <w:t>Provision of an open access, with calculated risk arrangement, for the public to track the progress of IPR and its results for the Palestinian People</w:t>
            </w:r>
          </w:p>
        </w:tc>
      </w:tr>
    </w:tbl>
    <w:p w14:paraId="386BA80B" w14:textId="77777777" w:rsidR="004002DA" w:rsidRPr="004002DA" w:rsidRDefault="004002DA" w:rsidP="004002DA">
      <w:pPr>
        <w:rPr>
          <w:rFonts w:asciiTheme="minorBidi" w:hAnsiTheme="minorBidi" w:cstheme="minorBidi"/>
          <w:i/>
          <w:sz w:val="20"/>
          <w:lang w:val="en-US"/>
        </w:rPr>
      </w:pPr>
    </w:p>
    <w:p w14:paraId="151A7A47" w14:textId="77777777" w:rsidR="004002DA" w:rsidRPr="0041504B" w:rsidRDefault="004002DA" w:rsidP="002A6590">
      <w:pPr>
        <w:pStyle w:val="Heading1"/>
        <w:keepNext/>
        <w:numPr>
          <w:ilvl w:val="0"/>
          <w:numId w:val="27"/>
        </w:numPr>
        <w:pBdr>
          <w:top w:val="single" w:sz="4" w:space="1" w:color="auto"/>
        </w:pBdr>
        <w:suppressAutoHyphens/>
        <w:spacing w:before="104" w:after="226" w:line="240" w:lineRule="auto"/>
        <w:jc w:val="both"/>
        <w:rPr>
          <w:rFonts w:asciiTheme="minorBidi" w:hAnsiTheme="minorBidi" w:cstheme="minorBidi"/>
          <w:sz w:val="20"/>
        </w:rPr>
      </w:pPr>
      <w:bookmarkStart w:id="25" w:name="_Toc22304427"/>
      <w:bookmarkStart w:id="26" w:name="_Toc22540836"/>
      <w:bookmarkStart w:id="27" w:name="_Toc22541352"/>
      <w:bookmarkStart w:id="28" w:name="_Toc48809751"/>
      <w:r w:rsidRPr="0041504B">
        <w:rPr>
          <w:rFonts w:asciiTheme="minorBidi" w:hAnsiTheme="minorBidi" w:cstheme="minorBidi"/>
          <w:sz w:val="20"/>
        </w:rPr>
        <w:lastRenderedPageBreak/>
        <w:t>Monitoring And Evaluation</w:t>
      </w:r>
      <w:bookmarkEnd w:id="25"/>
      <w:bookmarkEnd w:id="26"/>
      <w:bookmarkEnd w:id="27"/>
      <w:bookmarkEnd w:id="28"/>
      <w:r w:rsidRPr="0041504B">
        <w:rPr>
          <w:rFonts w:asciiTheme="minorBidi" w:hAnsiTheme="minorBidi" w:cstheme="minorBidi"/>
          <w:sz w:val="18"/>
          <w:szCs w:val="18"/>
        </w:rPr>
        <w:tab/>
      </w:r>
      <w:r w:rsidRPr="0041504B">
        <w:rPr>
          <w:rFonts w:asciiTheme="minorBidi" w:hAnsiTheme="minorBidi" w:cstheme="minorBidi"/>
          <w:sz w:val="18"/>
          <w:szCs w:val="18"/>
        </w:rPr>
        <w:tab/>
      </w:r>
      <w:r w:rsidRPr="0041504B">
        <w:rPr>
          <w:rFonts w:asciiTheme="minorBidi" w:hAnsiTheme="minorBidi" w:cstheme="minorBidi"/>
          <w:sz w:val="18"/>
          <w:szCs w:val="18"/>
        </w:rPr>
        <w:tab/>
      </w:r>
      <w:r w:rsidRPr="0041504B">
        <w:rPr>
          <w:rFonts w:asciiTheme="minorBidi" w:hAnsiTheme="minorBidi" w:cstheme="minorBidi"/>
          <w:sz w:val="18"/>
          <w:szCs w:val="18"/>
        </w:rPr>
        <w:tab/>
      </w:r>
      <w:r w:rsidRPr="0041504B">
        <w:rPr>
          <w:rFonts w:asciiTheme="minorBidi" w:hAnsiTheme="minorBidi" w:cstheme="minorBidi"/>
          <w:sz w:val="18"/>
          <w:szCs w:val="18"/>
        </w:rPr>
        <w:tab/>
      </w:r>
      <w:r w:rsidRPr="0041504B">
        <w:rPr>
          <w:rFonts w:asciiTheme="minorBidi" w:hAnsiTheme="minorBidi" w:cstheme="minorBidi"/>
          <w:sz w:val="18"/>
          <w:szCs w:val="18"/>
        </w:rPr>
        <w:tab/>
      </w:r>
      <w:r w:rsidRPr="0041504B">
        <w:rPr>
          <w:rFonts w:asciiTheme="minorBidi" w:hAnsiTheme="minorBidi" w:cstheme="minorBidi"/>
          <w:sz w:val="18"/>
          <w:szCs w:val="18"/>
        </w:rPr>
        <w:tab/>
      </w:r>
      <w:r w:rsidRPr="0041504B">
        <w:rPr>
          <w:rFonts w:asciiTheme="minorBidi" w:hAnsiTheme="minorBidi" w:cstheme="minorBidi"/>
          <w:sz w:val="18"/>
          <w:szCs w:val="18"/>
        </w:rPr>
        <w:tab/>
      </w:r>
    </w:p>
    <w:p w14:paraId="33D1A5D3" w14:textId="77777777" w:rsidR="004002DA" w:rsidRPr="00F12C3C" w:rsidRDefault="004002DA" w:rsidP="004002DA">
      <w:pPr>
        <w:rPr>
          <w:rFonts w:cs="Arial"/>
          <w:sz w:val="20"/>
          <w:lang w:val="en-US"/>
        </w:rPr>
      </w:pPr>
      <w:r w:rsidRPr="00F12C3C">
        <w:rPr>
          <w:rFonts w:cs="Arial"/>
          <w:sz w:val="20"/>
          <w:lang w:val="en-US"/>
        </w:rPr>
        <w:t xml:space="preserve">75. In line with UNDP Results Based Management approach, during the first quarter of the Programme implementation the Results and Resources Framework (RRF) will be revised and updated to reflect the latest data/figures. Moreover, in the same first quarter a monitoring plan will be developed and shared with </w:t>
      </w:r>
      <w:proofErr w:type="spellStart"/>
      <w:r w:rsidRPr="00F12C3C">
        <w:rPr>
          <w:rFonts w:cs="Arial"/>
          <w:sz w:val="20"/>
          <w:lang w:val="en-US"/>
        </w:rPr>
        <w:t>KfW</w:t>
      </w:r>
      <w:proofErr w:type="spellEnd"/>
      <w:r w:rsidRPr="00F12C3C">
        <w:rPr>
          <w:rFonts w:cs="Arial"/>
          <w:sz w:val="20"/>
          <w:lang w:val="en-US"/>
        </w:rPr>
        <w:t xml:space="preserve"> for review, outlining the following elements: expected results, indicators with baselines and adjusted targets, schedule and frequency of data collection, responsibilities, data source and type, resources and risks. The monitoring plan will guide all data collection and reporting efforts throughout the implementation. UNDP and its implementing partners will </w:t>
      </w:r>
      <w:proofErr w:type="gramStart"/>
      <w:r w:rsidRPr="00F12C3C">
        <w:rPr>
          <w:rFonts w:cs="Arial"/>
          <w:sz w:val="20"/>
          <w:lang w:val="en-US"/>
        </w:rPr>
        <w:t>be in charge of</w:t>
      </w:r>
      <w:proofErr w:type="gramEnd"/>
      <w:r w:rsidRPr="00F12C3C">
        <w:rPr>
          <w:rFonts w:cs="Arial"/>
          <w:sz w:val="20"/>
          <w:lang w:val="en-US"/>
        </w:rPr>
        <w:t xml:space="preserve"> data collection, monitoring and reporting against the agreed upon indicators included in the RRF. In order to ensure consistency and capturing progress against targets, including documenting challenges, remedial measures and lessons learnt, standard templates will be developed. These templates will capture relevant information for field visits, quarterly progress updates and end of activities as well as follow up 3-6 months after completion. These different templates will be uploaded on the Kobo Toolbox to enable real time monitoring of activities implementation, each one according to the agreed schedule and indicators. For reporting and communication purposes, the real time monitoring data of the Kobo toolbox will be linked to </w:t>
      </w:r>
      <w:proofErr w:type="spellStart"/>
      <w:r w:rsidRPr="00F12C3C">
        <w:rPr>
          <w:rFonts w:cs="Arial"/>
          <w:sz w:val="20"/>
          <w:lang w:val="en-US"/>
        </w:rPr>
        <w:t>PowerBi</w:t>
      </w:r>
      <w:proofErr w:type="spellEnd"/>
      <w:r w:rsidRPr="00F12C3C">
        <w:rPr>
          <w:rFonts w:cs="Arial"/>
          <w:sz w:val="20"/>
          <w:lang w:val="en-US"/>
        </w:rPr>
        <w:t xml:space="preserve">, and </w:t>
      </w:r>
      <w:proofErr w:type="spellStart"/>
      <w:r w:rsidRPr="00F12C3C">
        <w:rPr>
          <w:rFonts w:cs="Arial"/>
          <w:sz w:val="20"/>
          <w:lang w:val="en-US"/>
        </w:rPr>
        <w:t>ArcGis</w:t>
      </w:r>
      <w:proofErr w:type="spellEnd"/>
      <w:r w:rsidRPr="00F12C3C">
        <w:rPr>
          <w:rFonts w:cs="Arial"/>
          <w:sz w:val="20"/>
          <w:lang w:val="en-US"/>
        </w:rPr>
        <w:t xml:space="preserve"> tools. </w:t>
      </w:r>
    </w:p>
    <w:p w14:paraId="0CD353B1" w14:textId="77777777" w:rsidR="004002DA" w:rsidRPr="00F12C3C" w:rsidRDefault="004002DA" w:rsidP="004002DA">
      <w:pPr>
        <w:rPr>
          <w:rFonts w:cs="Arial"/>
          <w:sz w:val="20"/>
          <w:lang w:val="en-US"/>
        </w:rPr>
      </w:pPr>
    </w:p>
    <w:p w14:paraId="223E5E15" w14:textId="77777777" w:rsidR="004002DA" w:rsidRPr="00F12C3C" w:rsidRDefault="004002DA" w:rsidP="004002DA">
      <w:pPr>
        <w:rPr>
          <w:rFonts w:cs="Arial"/>
          <w:noProof/>
          <w:sz w:val="20"/>
          <w:lang w:val="en-US"/>
        </w:rPr>
      </w:pPr>
      <w:r w:rsidRPr="00F12C3C">
        <w:rPr>
          <w:rFonts w:cs="Arial"/>
          <w:sz w:val="20"/>
          <w:lang w:val="en-US"/>
        </w:rPr>
        <w:t xml:space="preserve">76. Results data will be disaggregated based on sex (and age where relevant and possible), to ensure that gender considerations in the design and implementation have had the intended effect.  Moreover, engagement and participation of women in the process of design and implementation, particularly for the community infrastructure component will also be monitored. Guidance on how to engage them more effectively will be incorporated into </w:t>
      </w:r>
      <w:proofErr w:type="spellStart"/>
      <w:r w:rsidRPr="00F12C3C">
        <w:rPr>
          <w:rFonts w:cs="Arial"/>
          <w:sz w:val="20"/>
          <w:lang w:val="en-US"/>
        </w:rPr>
        <w:t>SoPs</w:t>
      </w:r>
      <w:proofErr w:type="spellEnd"/>
      <w:r w:rsidRPr="00F12C3C">
        <w:rPr>
          <w:rFonts w:cs="Arial"/>
          <w:sz w:val="20"/>
          <w:lang w:val="en-US"/>
        </w:rPr>
        <w:t xml:space="preserve">.  </w:t>
      </w:r>
    </w:p>
    <w:p w14:paraId="4DAC089F" w14:textId="77777777" w:rsidR="004002DA" w:rsidRPr="00F12C3C" w:rsidRDefault="004002DA" w:rsidP="004002DA">
      <w:pPr>
        <w:rPr>
          <w:rFonts w:cs="Arial"/>
          <w:noProof/>
          <w:sz w:val="20"/>
          <w:lang w:val="en-US"/>
        </w:rPr>
      </w:pPr>
    </w:p>
    <w:p w14:paraId="5BD3900E" w14:textId="77777777" w:rsidR="004002DA" w:rsidRPr="00F12C3C" w:rsidRDefault="004002DA" w:rsidP="004002DA">
      <w:pPr>
        <w:keepNext/>
        <w:jc w:val="center"/>
        <w:rPr>
          <w:rFonts w:cs="Arial"/>
          <w:sz w:val="20"/>
        </w:rPr>
      </w:pPr>
      <w:r>
        <w:rPr>
          <w:noProof/>
        </w:rPr>
        <w:drawing>
          <wp:inline distT="0" distB="0" distL="0" distR="0" wp14:anchorId="74FECF2C" wp14:editId="37E9735F">
            <wp:extent cx="5142714" cy="2537619"/>
            <wp:effectExtent l="0" t="0" r="1270" b="0"/>
            <wp:docPr id="1390006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rcRect l="9479" t="20620"/>
                    <a:stretch>
                      <a:fillRect/>
                    </a:stretch>
                  </pic:blipFill>
                  <pic:spPr>
                    <a:xfrm>
                      <a:off x="0" y="0"/>
                      <a:ext cx="5142714" cy="2537619"/>
                    </a:xfrm>
                    <a:prstGeom prst="rect">
                      <a:avLst/>
                    </a:prstGeom>
                  </pic:spPr>
                </pic:pic>
              </a:graphicData>
            </a:graphic>
          </wp:inline>
        </w:drawing>
      </w:r>
    </w:p>
    <w:p w14:paraId="5E4A5030" w14:textId="77777777" w:rsidR="004002DA" w:rsidRPr="00F12C3C" w:rsidRDefault="004002DA" w:rsidP="004002DA">
      <w:pPr>
        <w:pStyle w:val="Caption"/>
        <w:jc w:val="center"/>
        <w:rPr>
          <w:rFonts w:ascii="Arial" w:hAnsi="Arial" w:cs="Arial"/>
          <w:iCs/>
          <w:sz w:val="20"/>
          <w:u w:val="single"/>
        </w:rPr>
      </w:pPr>
      <w:r w:rsidRPr="00F12C3C">
        <w:rPr>
          <w:rFonts w:ascii="Arial" w:hAnsi="Arial" w:cs="Arial"/>
          <w:sz w:val="20"/>
        </w:rPr>
        <w:t xml:space="preserve">Figure </w:t>
      </w:r>
      <w:r w:rsidRPr="00F12C3C">
        <w:rPr>
          <w:rFonts w:ascii="Arial" w:hAnsi="Arial" w:cs="Arial"/>
          <w:sz w:val="20"/>
        </w:rPr>
        <w:fldChar w:fldCharType="begin"/>
      </w:r>
      <w:r w:rsidRPr="00F12C3C">
        <w:rPr>
          <w:rFonts w:ascii="Arial" w:hAnsi="Arial" w:cs="Arial"/>
          <w:sz w:val="20"/>
        </w:rPr>
        <w:instrText xml:space="preserve"> SEQ Figure \* ARABIC </w:instrText>
      </w:r>
      <w:r w:rsidRPr="00F12C3C">
        <w:rPr>
          <w:rFonts w:ascii="Arial" w:hAnsi="Arial" w:cs="Arial"/>
          <w:sz w:val="20"/>
        </w:rPr>
        <w:fldChar w:fldCharType="separate"/>
      </w:r>
      <w:r w:rsidRPr="00F12C3C">
        <w:rPr>
          <w:rFonts w:ascii="Arial" w:hAnsi="Arial" w:cs="Arial"/>
          <w:noProof/>
          <w:sz w:val="20"/>
        </w:rPr>
        <w:t>1</w:t>
      </w:r>
      <w:r w:rsidRPr="00F12C3C">
        <w:rPr>
          <w:rFonts w:ascii="Arial" w:hAnsi="Arial" w:cs="Arial"/>
          <w:sz w:val="20"/>
        </w:rPr>
        <w:fldChar w:fldCharType="end"/>
      </w:r>
      <w:r w:rsidRPr="00F12C3C">
        <w:rPr>
          <w:rFonts w:ascii="Arial" w:hAnsi="Arial" w:cs="Arial"/>
          <w:sz w:val="20"/>
        </w:rPr>
        <w:t>: Three-layered approach</w:t>
      </w:r>
    </w:p>
    <w:p w14:paraId="63F318E0" w14:textId="77777777" w:rsidR="004002DA" w:rsidRPr="00F12C3C" w:rsidRDefault="004002DA" w:rsidP="004002DA">
      <w:pPr>
        <w:rPr>
          <w:rFonts w:cs="Arial"/>
          <w:sz w:val="20"/>
          <w:lang w:val="en-US"/>
        </w:rPr>
      </w:pPr>
    </w:p>
    <w:p w14:paraId="000E489C" w14:textId="77777777" w:rsidR="004002DA" w:rsidRPr="00F12C3C" w:rsidRDefault="004002DA" w:rsidP="004002DA">
      <w:pPr>
        <w:rPr>
          <w:rFonts w:cs="Arial"/>
          <w:sz w:val="20"/>
          <w:lang w:val="en-US"/>
        </w:rPr>
      </w:pPr>
      <w:r w:rsidRPr="00F12C3C">
        <w:rPr>
          <w:rFonts w:cs="Arial"/>
          <w:sz w:val="20"/>
          <w:lang w:val="en-US"/>
        </w:rPr>
        <w:t xml:space="preserve">77. The three-layered approach, along with the Monitoring and Evaluation Plans, will be developed in the first quarter of the implementation period. Finally, a baseline survey and end-of-project evaluations are </w:t>
      </w:r>
      <w:r w:rsidRPr="00F12C3C">
        <w:rPr>
          <w:rFonts w:cs="Arial"/>
          <w:sz w:val="20"/>
          <w:lang w:val="en-US"/>
        </w:rPr>
        <w:lastRenderedPageBreak/>
        <w:t xml:space="preserve">proposed in order to assess progress and achievements of results against the OECD/ DAC criteria of Relevance, Effectiveness, Efficiency, Impact and Sustainability, including assessing cross-cutting issues such as gender and environment. </w:t>
      </w:r>
    </w:p>
    <w:p w14:paraId="3F04261E" w14:textId="77777777" w:rsidR="004002DA" w:rsidRPr="00F12C3C" w:rsidRDefault="004002DA" w:rsidP="004002DA">
      <w:pPr>
        <w:spacing w:before="120" w:after="120"/>
        <w:rPr>
          <w:rFonts w:cs="Arial"/>
          <w:sz w:val="20"/>
          <w:lang w:val="en-US"/>
        </w:rPr>
      </w:pPr>
      <w:r w:rsidRPr="00F12C3C">
        <w:rPr>
          <w:rFonts w:cs="Arial"/>
          <w:sz w:val="20"/>
          <w:lang w:val="en-US"/>
        </w:rPr>
        <w:t xml:space="preserve">78. In accordance with the programming policies and procedures outlined in the UNDP User Guide, the programme will also benefit from the following UNDP corporate tools: </w:t>
      </w:r>
    </w:p>
    <w:p w14:paraId="1D373581" w14:textId="77777777" w:rsidR="004002DA" w:rsidRPr="00F12C3C" w:rsidRDefault="004002DA" w:rsidP="002A6590">
      <w:pPr>
        <w:numPr>
          <w:ilvl w:val="0"/>
          <w:numId w:val="20"/>
        </w:numPr>
        <w:spacing w:before="120" w:after="120" w:line="240" w:lineRule="auto"/>
        <w:ind w:left="720"/>
        <w:jc w:val="both"/>
        <w:rPr>
          <w:rFonts w:cs="Arial"/>
          <w:sz w:val="20"/>
          <w:lang w:val="en-US"/>
        </w:rPr>
      </w:pPr>
      <w:r w:rsidRPr="00F12C3C">
        <w:rPr>
          <w:rFonts w:cs="Arial"/>
          <w:b/>
          <w:bCs/>
          <w:sz w:val="20"/>
          <w:lang w:val="en-US"/>
        </w:rPr>
        <w:t>Quality assessment</w:t>
      </w:r>
      <w:r w:rsidRPr="00F12C3C">
        <w:rPr>
          <w:rFonts w:cs="Arial"/>
          <w:sz w:val="20"/>
          <w:lang w:val="en-US"/>
        </w:rPr>
        <w:t xml:space="preserve">: on a quarterly basis, a quality assessment shall record progress towards the completion of key results based on quality criteria and methods </w:t>
      </w:r>
    </w:p>
    <w:p w14:paraId="6A0C467D" w14:textId="77777777" w:rsidR="004002DA" w:rsidRPr="00F12C3C" w:rsidRDefault="004002DA" w:rsidP="002A6590">
      <w:pPr>
        <w:numPr>
          <w:ilvl w:val="0"/>
          <w:numId w:val="20"/>
        </w:numPr>
        <w:spacing w:before="120" w:after="120" w:line="240" w:lineRule="auto"/>
        <w:ind w:left="720"/>
        <w:jc w:val="both"/>
        <w:rPr>
          <w:rFonts w:cs="Arial"/>
          <w:sz w:val="20"/>
          <w:lang w:val="en-US"/>
        </w:rPr>
      </w:pPr>
      <w:r w:rsidRPr="00F12C3C">
        <w:rPr>
          <w:rFonts w:cs="Arial"/>
          <w:b/>
          <w:bCs/>
          <w:sz w:val="20"/>
          <w:lang w:val="en-US"/>
        </w:rPr>
        <w:t>Issue Log</w:t>
      </w:r>
      <w:r w:rsidRPr="00F12C3C">
        <w:rPr>
          <w:rFonts w:cs="Arial"/>
          <w:sz w:val="20"/>
          <w:lang w:val="en-US"/>
        </w:rPr>
        <w:t xml:space="preserve">: shall be activated in Atlas (UNDP’s Financial and Managerial System) and updated by the UNDP Project Manager to facilitate tracking and resolution of potential problems or requests for change </w:t>
      </w:r>
    </w:p>
    <w:p w14:paraId="73F92530" w14:textId="77777777" w:rsidR="004002DA" w:rsidRPr="00F12C3C" w:rsidRDefault="004002DA" w:rsidP="002A6590">
      <w:pPr>
        <w:pStyle w:val="ListParagraph"/>
        <w:numPr>
          <w:ilvl w:val="0"/>
          <w:numId w:val="20"/>
        </w:numPr>
        <w:spacing w:before="120" w:after="120" w:line="264" w:lineRule="auto"/>
        <w:ind w:left="720"/>
        <w:contextualSpacing w:val="0"/>
        <w:jc w:val="both"/>
        <w:rPr>
          <w:rFonts w:cs="Arial"/>
          <w:sz w:val="20"/>
          <w:lang w:val="en-US"/>
        </w:rPr>
      </w:pPr>
      <w:r w:rsidRPr="00F12C3C">
        <w:rPr>
          <w:rFonts w:cs="Arial"/>
          <w:b/>
          <w:bCs/>
          <w:sz w:val="20"/>
          <w:lang w:val="en-US"/>
        </w:rPr>
        <w:t>Risk Log</w:t>
      </w:r>
      <w:r w:rsidRPr="00F12C3C">
        <w:rPr>
          <w:rFonts w:cs="Arial"/>
          <w:sz w:val="20"/>
          <w:lang w:val="en-US"/>
        </w:rPr>
        <w:t>: Based on the initial risk analysis a risk log shall be activated in UNDPs project management system (Atlas) and will be regularly updated by reviewing the external environment that may affect the project implementation</w:t>
      </w:r>
    </w:p>
    <w:p w14:paraId="3814A557" w14:textId="77777777" w:rsidR="004002DA" w:rsidRPr="00F12C3C" w:rsidRDefault="004002DA" w:rsidP="002A6590">
      <w:pPr>
        <w:numPr>
          <w:ilvl w:val="0"/>
          <w:numId w:val="20"/>
        </w:numPr>
        <w:spacing w:before="120" w:after="120" w:line="240" w:lineRule="auto"/>
        <w:ind w:left="720"/>
        <w:jc w:val="both"/>
        <w:rPr>
          <w:rFonts w:cs="Arial"/>
          <w:sz w:val="20"/>
          <w:lang w:val="en-US"/>
        </w:rPr>
      </w:pPr>
      <w:r w:rsidRPr="00F12C3C">
        <w:rPr>
          <w:rFonts w:cs="Arial"/>
          <w:b/>
          <w:bCs/>
          <w:sz w:val="20"/>
          <w:lang w:val="en-US"/>
        </w:rPr>
        <w:t>Lessons Learnt Log</w:t>
      </w:r>
      <w:r w:rsidRPr="00F12C3C">
        <w:rPr>
          <w:rFonts w:cs="Arial"/>
          <w:sz w:val="20"/>
          <w:lang w:val="en-US"/>
        </w:rPr>
        <w:t>: shall be activated and regularly updated to ensure on-going learning and adaptation within the organization, and to facilitate the preparation of the lessons learnt section of the final report at the end of the project</w:t>
      </w:r>
    </w:p>
    <w:p w14:paraId="0B17BAAC" w14:textId="77777777" w:rsidR="004002DA" w:rsidRPr="00F12C3C" w:rsidRDefault="004002DA" w:rsidP="002A6590">
      <w:pPr>
        <w:pStyle w:val="ListParagraph"/>
        <w:numPr>
          <w:ilvl w:val="0"/>
          <w:numId w:val="20"/>
        </w:numPr>
        <w:spacing w:before="120" w:after="120" w:line="264" w:lineRule="auto"/>
        <w:ind w:left="720"/>
        <w:contextualSpacing w:val="0"/>
        <w:jc w:val="both"/>
        <w:rPr>
          <w:rFonts w:cs="Arial"/>
          <w:sz w:val="20"/>
        </w:rPr>
      </w:pPr>
      <w:r w:rsidRPr="00F12C3C">
        <w:rPr>
          <w:rFonts w:cs="Arial"/>
          <w:b/>
          <w:bCs/>
          <w:sz w:val="20"/>
          <w:lang w:val="en-US"/>
        </w:rPr>
        <w:t>Monitoring visits</w:t>
      </w:r>
      <w:r w:rsidRPr="00F12C3C">
        <w:rPr>
          <w:rFonts w:cs="Arial"/>
          <w:sz w:val="20"/>
          <w:lang w:val="en-US"/>
        </w:rPr>
        <w:t xml:space="preserve">: regular field visits/ back to office reports will be drafted by the project team. This should include an update on progress in relation to the work plan and in relation to the results framework and progress against the achievements of the set targets. </w:t>
      </w:r>
      <w:r w:rsidRPr="00F12C3C">
        <w:rPr>
          <w:rFonts w:cs="Arial"/>
          <w:sz w:val="20"/>
        </w:rPr>
        <w:t>A Monitoring Schedule Plan shall be activated in Atlas</w:t>
      </w:r>
    </w:p>
    <w:p w14:paraId="28611793" w14:textId="77777777" w:rsidR="004002DA" w:rsidRPr="00F12C3C" w:rsidRDefault="004002DA" w:rsidP="002A6590">
      <w:pPr>
        <w:pStyle w:val="ListParagraph"/>
        <w:numPr>
          <w:ilvl w:val="0"/>
          <w:numId w:val="20"/>
        </w:numPr>
        <w:spacing w:before="120" w:after="120" w:line="264" w:lineRule="auto"/>
        <w:ind w:left="720"/>
        <w:contextualSpacing w:val="0"/>
        <w:jc w:val="both"/>
        <w:rPr>
          <w:rFonts w:cs="Arial"/>
          <w:b/>
          <w:bCs/>
          <w:sz w:val="20"/>
          <w:lang w:val="en-US"/>
        </w:rPr>
      </w:pPr>
      <w:r w:rsidRPr="00F12C3C">
        <w:rPr>
          <w:rFonts w:cs="Arial"/>
          <w:b/>
          <w:bCs/>
          <w:sz w:val="20"/>
          <w:lang w:val="en-US"/>
        </w:rPr>
        <w:t xml:space="preserve">Annual Project Report: </w:t>
      </w:r>
      <w:r w:rsidRPr="00F12C3C">
        <w:rPr>
          <w:rFonts w:cs="Arial"/>
          <w:sz w:val="20"/>
          <w:lang w:val="en-US"/>
        </w:rPr>
        <w:t>The Project Manager will ensure the preparation of the Annual Project Report (APR) in consultation with the various stakeholders. These reports, while serving the purposes of monitoring performance, will also cover lessons to help in assessing the various implementation modalities</w:t>
      </w:r>
    </w:p>
    <w:p w14:paraId="2FD239FF" w14:textId="77777777" w:rsidR="004002DA" w:rsidRPr="00F12C3C" w:rsidRDefault="004002DA" w:rsidP="002A6590">
      <w:pPr>
        <w:numPr>
          <w:ilvl w:val="0"/>
          <w:numId w:val="20"/>
        </w:numPr>
        <w:spacing w:before="120" w:after="120" w:line="240" w:lineRule="auto"/>
        <w:ind w:left="720"/>
        <w:jc w:val="both"/>
        <w:rPr>
          <w:rFonts w:cs="Arial"/>
          <w:sz w:val="20"/>
          <w:lang w:val="en-US"/>
        </w:rPr>
      </w:pPr>
      <w:r w:rsidRPr="00F12C3C">
        <w:rPr>
          <w:rFonts w:cs="Arial"/>
          <w:b/>
          <w:bCs/>
          <w:sz w:val="20"/>
          <w:lang w:val="en-US"/>
        </w:rPr>
        <w:t>Audit</w:t>
      </w:r>
      <w:r w:rsidRPr="00F12C3C">
        <w:rPr>
          <w:rFonts w:cs="Arial"/>
          <w:sz w:val="20"/>
          <w:lang w:val="en-US"/>
        </w:rPr>
        <w:t>: Allocation for auditing coverage may also be included, to be agreed upon in consultation with the Donor</w:t>
      </w:r>
    </w:p>
    <w:p w14:paraId="2F07AC14" w14:textId="77777777" w:rsidR="004002DA" w:rsidRPr="0041504B" w:rsidRDefault="004002DA" w:rsidP="004002DA">
      <w:pPr>
        <w:pStyle w:val="Caption"/>
        <w:keepNext/>
        <w:rPr>
          <w:rFonts w:asciiTheme="minorBidi" w:hAnsiTheme="minorBidi" w:cstheme="minorBidi"/>
        </w:rPr>
      </w:pPr>
      <w:bookmarkStart w:id="29" w:name="_Toc40980615"/>
      <w:r w:rsidRPr="0041504B">
        <w:rPr>
          <w:rFonts w:asciiTheme="minorBidi" w:hAnsiTheme="minorBidi" w:cstheme="minorBidi"/>
        </w:rPr>
        <w:t xml:space="preserve">Table </w:t>
      </w:r>
      <w:r w:rsidRPr="0041504B">
        <w:rPr>
          <w:rFonts w:asciiTheme="minorBidi" w:hAnsiTheme="minorBidi" w:cstheme="minorBidi"/>
          <w:color w:val="2B579A"/>
          <w:shd w:val="clear" w:color="auto" w:fill="E6E6E6"/>
        </w:rPr>
        <w:fldChar w:fldCharType="begin"/>
      </w:r>
      <w:r w:rsidRPr="0041504B">
        <w:rPr>
          <w:rFonts w:asciiTheme="minorBidi" w:hAnsiTheme="minorBidi" w:cstheme="minorBidi"/>
        </w:rPr>
        <w:instrText xml:space="preserve"> SEQ Table \* ARABIC </w:instrText>
      </w:r>
      <w:r w:rsidRPr="0041504B">
        <w:rPr>
          <w:rFonts w:asciiTheme="minorBidi" w:hAnsiTheme="minorBidi" w:cstheme="minorBidi"/>
          <w:color w:val="2B579A"/>
          <w:shd w:val="clear" w:color="auto" w:fill="E6E6E6"/>
        </w:rPr>
        <w:fldChar w:fldCharType="separate"/>
      </w:r>
      <w:r>
        <w:rPr>
          <w:rFonts w:asciiTheme="minorBidi" w:hAnsiTheme="minorBidi" w:cstheme="minorBidi"/>
          <w:noProof/>
        </w:rPr>
        <w:t>8</w:t>
      </w:r>
      <w:r w:rsidRPr="0041504B">
        <w:rPr>
          <w:rFonts w:asciiTheme="minorBidi" w:hAnsiTheme="minorBidi" w:cstheme="minorBidi"/>
          <w:color w:val="2B579A"/>
          <w:shd w:val="clear" w:color="auto" w:fill="E6E6E6"/>
        </w:rPr>
        <w:fldChar w:fldCharType="end"/>
      </w:r>
      <w:r w:rsidRPr="0041504B">
        <w:rPr>
          <w:rFonts w:asciiTheme="minorBidi" w:hAnsiTheme="minorBidi" w:cstheme="minorBidi"/>
        </w:rPr>
        <w:t>: Evaluation Plan</w:t>
      </w:r>
      <w:bookmarkEnd w:id="29"/>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866"/>
        <w:gridCol w:w="1105"/>
        <w:gridCol w:w="1422"/>
        <w:gridCol w:w="1583"/>
        <w:gridCol w:w="1250"/>
        <w:gridCol w:w="1109"/>
      </w:tblGrid>
      <w:tr w:rsidR="004002DA" w:rsidRPr="006F767C" w14:paraId="3AF8586E" w14:textId="77777777" w:rsidTr="004002DA">
        <w:trPr>
          <w:trHeight w:val="463"/>
        </w:trPr>
        <w:tc>
          <w:tcPr>
            <w:tcW w:w="2100" w:type="dxa"/>
            <w:shd w:val="solid" w:color="000080" w:fill="FFFFFF"/>
          </w:tcPr>
          <w:p w14:paraId="546136D5" w14:textId="77777777" w:rsidR="004002DA" w:rsidRPr="0041504B" w:rsidRDefault="004002DA" w:rsidP="004002DA">
            <w:pPr>
              <w:jc w:val="center"/>
              <w:rPr>
                <w:rFonts w:asciiTheme="minorBidi" w:hAnsiTheme="minorBidi" w:cstheme="minorBidi"/>
                <w:b/>
                <w:color w:val="FFFFFF"/>
                <w:sz w:val="16"/>
                <w:szCs w:val="16"/>
              </w:rPr>
            </w:pPr>
            <w:r w:rsidRPr="0041504B">
              <w:rPr>
                <w:rFonts w:asciiTheme="minorBidi" w:hAnsiTheme="minorBidi" w:cstheme="minorBidi"/>
                <w:b/>
                <w:color w:val="FFFFFF"/>
                <w:sz w:val="16"/>
                <w:szCs w:val="16"/>
              </w:rPr>
              <w:t>Evaluation Title</w:t>
            </w:r>
          </w:p>
        </w:tc>
        <w:tc>
          <w:tcPr>
            <w:tcW w:w="866" w:type="dxa"/>
            <w:shd w:val="solid" w:color="000080" w:fill="FFFFFF"/>
          </w:tcPr>
          <w:p w14:paraId="308172BB" w14:textId="77777777" w:rsidR="004002DA" w:rsidRPr="0041504B" w:rsidRDefault="004002DA" w:rsidP="004002DA">
            <w:pPr>
              <w:jc w:val="center"/>
              <w:rPr>
                <w:rFonts w:asciiTheme="minorBidi" w:hAnsiTheme="minorBidi" w:cstheme="minorBidi"/>
                <w:b/>
                <w:color w:val="FFFFFF"/>
                <w:sz w:val="16"/>
                <w:szCs w:val="16"/>
              </w:rPr>
            </w:pPr>
            <w:r w:rsidRPr="0041504B">
              <w:rPr>
                <w:rFonts w:asciiTheme="minorBidi" w:hAnsiTheme="minorBidi" w:cstheme="minorBidi"/>
                <w:b/>
                <w:color w:val="FFFFFF"/>
                <w:sz w:val="16"/>
                <w:szCs w:val="16"/>
              </w:rPr>
              <w:t>Partners (if joint)</w:t>
            </w:r>
          </w:p>
        </w:tc>
        <w:tc>
          <w:tcPr>
            <w:tcW w:w="1130" w:type="dxa"/>
            <w:shd w:val="solid" w:color="000080" w:fill="FFFFFF"/>
          </w:tcPr>
          <w:p w14:paraId="711B323E" w14:textId="77777777" w:rsidR="004002DA" w:rsidRPr="0041504B" w:rsidRDefault="004002DA" w:rsidP="004002DA">
            <w:pPr>
              <w:jc w:val="center"/>
              <w:rPr>
                <w:rFonts w:asciiTheme="minorBidi" w:hAnsiTheme="minorBidi" w:cstheme="minorBidi"/>
                <w:b/>
                <w:color w:val="FFFFFF"/>
                <w:sz w:val="16"/>
                <w:szCs w:val="16"/>
              </w:rPr>
            </w:pPr>
            <w:r w:rsidRPr="0041504B">
              <w:rPr>
                <w:rFonts w:asciiTheme="minorBidi" w:hAnsiTheme="minorBidi" w:cstheme="minorBidi"/>
                <w:b/>
                <w:color w:val="FFFFFF"/>
                <w:sz w:val="16"/>
                <w:szCs w:val="16"/>
              </w:rPr>
              <w:t>Related Strategic Plan Output</w:t>
            </w:r>
          </w:p>
        </w:tc>
        <w:tc>
          <w:tcPr>
            <w:tcW w:w="1454" w:type="dxa"/>
            <w:shd w:val="solid" w:color="000080" w:fill="FFFFFF"/>
          </w:tcPr>
          <w:p w14:paraId="3B636B36" w14:textId="77777777" w:rsidR="004002DA" w:rsidRPr="004002DA" w:rsidRDefault="004002DA" w:rsidP="004002DA">
            <w:pPr>
              <w:jc w:val="center"/>
              <w:rPr>
                <w:rFonts w:asciiTheme="minorBidi" w:hAnsiTheme="minorBidi" w:cstheme="minorBidi"/>
                <w:b/>
                <w:color w:val="FFFFFF"/>
                <w:sz w:val="16"/>
                <w:szCs w:val="16"/>
                <w:lang w:val="en-US"/>
              </w:rPr>
            </w:pPr>
            <w:r w:rsidRPr="004002DA">
              <w:rPr>
                <w:rFonts w:asciiTheme="minorBidi" w:hAnsiTheme="minorBidi" w:cstheme="minorBidi"/>
                <w:b/>
                <w:color w:val="FFFFFF"/>
                <w:sz w:val="16"/>
                <w:szCs w:val="16"/>
                <w:lang w:val="en-US"/>
              </w:rPr>
              <w:t>Project (BMZ funding) / UNDAF/CPD Outcome</w:t>
            </w:r>
          </w:p>
        </w:tc>
        <w:tc>
          <w:tcPr>
            <w:tcW w:w="1642" w:type="dxa"/>
            <w:shd w:val="solid" w:color="000080" w:fill="FFFFFF"/>
          </w:tcPr>
          <w:p w14:paraId="7014C5AA" w14:textId="77777777" w:rsidR="004002DA" w:rsidRPr="0041504B" w:rsidRDefault="004002DA" w:rsidP="004002DA">
            <w:pPr>
              <w:jc w:val="center"/>
              <w:rPr>
                <w:rFonts w:asciiTheme="minorBidi" w:hAnsiTheme="minorBidi" w:cstheme="minorBidi"/>
                <w:b/>
                <w:color w:val="FFFFFF"/>
                <w:sz w:val="16"/>
                <w:szCs w:val="16"/>
              </w:rPr>
            </w:pPr>
            <w:r w:rsidRPr="0041504B">
              <w:rPr>
                <w:rFonts w:asciiTheme="minorBidi" w:hAnsiTheme="minorBidi" w:cstheme="minorBidi"/>
                <w:b/>
                <w:color w:val="FFFFFF"/>
                <w:sz w:val="16"/>
                <w:szCs w:val="16"/>
              </w:rPr>
              <w:t>Planned Completion Date</w:t>
            </w:r>
          </w:p>
        </w:tc>
        <w:tc>
          <w:tcPr>
            <w:tcW w:w="1253" w:type="dxa"/>
            <w:shd w:val="solid" w:color="000080" w:fill="FFFFFF"/>
          </w:tcPr>
          <w:p w14:paraId="67EFFCCC" w14:textId="77777777" w:rsidR="004002DA" w:rsidRPr="0041504B" w:rsidRDefault="004002DA" w:rsidP="004002DA">
            <w:pPr>
              <w:jc w:val="center"/>
              <w:rPr>
                <w:rFonts w:asciiTheme="minorBidi" w:hAnsiTheme="minorBidi" w:cstheme="minorBidi"/>
                <w:b/>
                <w:color w:val="FFFFFF"/>
                <w:sz w:val="16"/>
                <w:szCs w:val="16"/>
              </w:rPr>
            </w:pPr>
            <w:r w:rsidRPr="0041504B">
              <w:rPr>
                <w:rFonts w:asciiTheme="minorBidi" w:hAnsiTheme="minorBidi" w:cstheme="minorBidi"/>
                <w:b/>
                <w:color w:val="FFFFFF"/>
                <w:sz w:val="16"/>
                <w:szCs w:val="16"/>
              </w:rPr>
              <w:t>Key Evaluation Stakeholders</w:t>
            </w:r>
          </w:p>
        </w:tc>
        <w:tc>
          <w:tcPr>
            <w:tcW w:w="1141" w:type="dxa"/>
            <w:shd w:val="solid" w:color="000080" w:fill="FFFFFF"/>
          </w:tcPr>
          <w:p w14:paraId="7CC209A1" w14:textId="77777777" w:rsidR="004002DA" w:rsidRPr="004002DA" w:rsidRDefault="004002DA" w:rsidP="004002DA">
            <w:pPr>
              <w:jc w:val="center"/>
              <w:rPr>
                <w:rFonts w:asciiTheme="minorBidi" w:hAnsiTheme="minorBidi" w:cstheme="minorBidi"/>
                <w:b/>
                <w:color w:val="FFFFFF"/>
                <w:sz w:val="16"/>
                <w:szCs w:val="16"/>
                <w:lang w:val="en-US"/>
              </w:rPr>
            </w:pPr>
            <w:r w:rsidRPr="004002DA">
              <w:rPr>
                <w:rFonts w:asciiTheme="minorBidi" w:hAnsiTheme="minorBidi" w:cstheme="minorBidi"/>
                <w:b/>
                <w:color w:val="FFFFFF"/>
                <w:sz w:val="16"/>
                <w:szCs w:val="16"/>
                <w:lang w:val="en-US"/>
              </w:rPr>
              <w:t>Cost and Source of Funding</w:t>
            </w:r>
          </w:p>
        </w:tc>
      </w:tr>
      <w:tr w:rsidR="004002DA" w:rsidRPr="0041504B" w14:paraId="2183481D" w14:textId="77777777" w:rsidTr="004002DA">
        <w:trPr>
          <w:trHeight w:val="483"/>
        </w:trPr>
        <w:tc>
          <w:tcPr>
            <w:tcW w:w="2100" w:type="dxa"/>
            <w:shd w:val="clear" w:color="auto" w:fill="auto"/>
          </w:tcPr>
          <w:p w14:paraId="64654003" w14:textId="77777777" w:rsidR="004002DA" w:rsidRPr="00F12C3C" w:rsidRDefault="004002DA" w:rsidP="004002DA">
            <w:pPr>
              <w:rPr>
                <w:rFonts w:cs="Arial"/>
                <w:sz w:val="20"/>
                <w:lang w:val="en-US"/>
              </w:rPr>
            </w:pPr>
            <w:r w:rsidRPr="00F12C3C">
              <w:rPr>
                <w:rFonts w:cs="Arial"/>
                <w:sz w:val="20"/>
                <w:lang w:val="en-US"/>
              </w:rPr>
              <w:t xml:space="preserve">Systems and applications for oversight </w:t>
            </w:r>
          </w:p>
        </w:tc>
        <w:tc>
          <w:tcPr>
            <w:tcW w:w="866" w:type="dxa"/>
            <w:shd w:val="clear" w:color="auto" w:fill="auto"/>
          </w:tcPr>
          <w:p w14:paraId="1B559AF1" w14:textId="77777777" w:rsidR="004002DA" w:rsidRPr="00F12C3C" w:rsidRDefault="004002DA" w:rsidP="004002DA">
            <w:pPr>
              <w:jc w:val="center"/>
              <w:rPr>
                <w:rFonts w:cs="Arial"/>
                <w:sz w:val="20"/>
              </w:rPr>
            </w:pPr>
            <w:r w:rsidRPr="00F12C3C">
              <w:rPr>
                <w:rFonts w:cs="Arial"/>
                <w:sz w:val="20"/>
              </w:rPr>
              <w:t>NA</w:t>
            </w:r>
          </w:p>
        </w:tc>
        <w:tc>
          <w:tcPr>
            <w:tcW w:w="1130" w:type="dxa"/>
            <w:shd w:val="clear" w:color="auto" w:fill="auto"/>
          </w:tcPr>
          <w:p w14:paraId="3E25DFF3" w14:textId="77777777" w:rsidR="004002DA" w:rsidRPr="00F12C3C" w:rsidRDefault="004002DA" w:rsidP="004002DA">
            <w:pPr>
              <w:jc w:val="center"/>
              <w:rPr>
                <w:rFonts w:cs="Arial"/>
                <w:sz w:val="20"/>
              </w:rPr>
            </w:pPr>
          </w:p>
        </w:tc>
        <w:tc>
          <w:tcPr>
            <w:tcW w:w="1454" w:type="dxa"/>
            <w:shd w:val="clear" w:color="auto" w:fill="auto"/>
          </w:tcPr>
          <w:p w14:paraId="4E0D434B" w14:textId="77777777" w:rsidR="004002DA" w:rsidRPr="00F12C3C" w:rsidRDefault="004002DA" w:rsidP="004002DA">
            <w:pPr>
              <w:jc w:val="center"/>
              <w:rPr>
                <w:rFonts w:cs="Arial"/>
                <w:sz w:val="20"/>
              </w:rPr>
            </w:pPr>
          </w:p>
        </w:tc>
        <w:tc>
          <w:tcPr>
            <w:tcW w:w="1642" w:type="dxa"/>
            <w:shd w:val="clear" w:color="auto" w:fill="auto"/>
          </w:tcPr>
          <w:p w14:paraId="6DDB822A" w14:textId="77777777" w:rsidR="004002DA" w:rsidRPr="00F12C3C" w:rsidRDefault="004002DA" w:rsidP="004002DA">
            <w:pPr>
              <w:rPr>
                <w:rFonts w:cs="Arial"/>
                <w:sz w:val="20"/>
              </w:rPr>
            </w:pPr>
            <w:r w:rsidRPr="00F12C3C">
              <w:rPr>
                <w:rFonts w:cs="Arial"/>
                <w:sz w:val="20"/>
              </w:rPr>
              <w:t>2020, 2021, 2022</w:t>
            </w:r>
          </w:p>
        </w:tc>
        <w:tc>
          <w:tcPr>
            <w:tcW w:w="1253" w:type="dxa"/>
            <w:shd w:val="clear" w:color="auto" w:fill="auto"/>
          </w:tcPr>
          <w:p w14:paraId="191D7102" w14:textId="77777777" w:rsidR="004002DA" w:rsidRPr="00F12C3C" w:rsidRDefault="004002DA" w:rsidP="004002DA">
            <w:pPr>
              <w:rPr>
                <w:rFonts w:cs="Arial"/>
                <w:sz w:val="20"/>
              </w:rPr>
            </w:pPr>
            <w:r w:rsidRPr="00F12C3C">
              <w:rPr>
                <w:rFonts w:cs="Arial"/>
                <w:sz w:val="20"/>
              </w:rPr>
              <w:t>TBD</w:t>
            </w:r>
          </w:p>
        </w:tc>
        <w:tc>
          <w:tcPr>
            <w:tcW w:w="1141" w:type="dxa"/>
            <w:shd w:val="clear" w:color="auto" w:fill="auto"/>
          </w:tcPr>
          <w:p w14:paraId="198514FF" w14:textId="77777777" w:rsidR="004002DA" w:rsidRPr="00F12C3C" w:rsidRDefault="004002DA" w:rsidP="004002DA">
            <w:pPr>
              <w:rPr>
                <w:rFonts w:cs="Arial"/>
                <w:sz w:val="20"/>
              </w:rPr>
            </w:pPr>
            <w:r w:rsidRPr="00F12C3C">
              <w:rPr>
                <w:rFonts w:cs="Arial"/>
                <w:sz w:val="20"/>
              </w:rPr>
              <w:t>US$ 15,000</w:t>
            </w:r>
          </w:p>
        </w:tc>
      </w:tr>
      <w:tr w:rsidR="004002DA" w:rsidRPr="0041504B" w14:paraId="48148FE1" w14:textId="77777777" w:rsidTr="004002DA">
        <w:trPr>
          <w:trHeight w:val="174"/>
        </w:trPr>
        <w:tc>
          <w:tcPr>
            <w:tcW w:w="2100" w:type="dxa"/>
            <w:shd w:val="clear" w:color="auto" w:fill="auto"/>
          </w:tcPr>
          <w:p w14:paraId="44725355" w14:textId="77777777" w:rsidR="004002DA" w:rsidRPr="00F12C3C" w:rsidDel="000212D0" w:rsidRDefault="004002DA" w:rsidP="004002DA">
            <w:pPr>
              <w:rPr>
                <w:rFonts w:cs="Arial"/>
                <w:sz w:val="20"/>
              </w:rPr>
            </w:pPr>
            <w:r w:rsidRPr="00F12C3C">
              <w:rPr>
                <w:rFonts w:cs="Arial"/>
                <w:sz w:val="20"/>
              </w:rPr>
              <w:t>Final evaluation</w:t>
            </w:r>
          </w:p>
        </w:tc>
        <w:tc>
          <w:tcPr>
            <w:tcW w:w="866" w:type="dxa"/>
            <w:shd w:val="clear" w:color="auto" w:fill="auto"/>
          </w:tcPr>
          <w:p w14:paraId="70F3B2B3" w14:textId="77777777" w:rsidR="004002DA" w:rsidRPr="00F12C3C" w:rsidRDefault="004002DA" w:rsidP="004002DA">
            <w:pPr>
              <w:jc w:val="center"/>
              <w:rPr>
                <w:rFonts w:cs="Arial"/>
                <w:sz w:val="20"/>
              </w:rPr>
            </w:pPr>
            <w:r w:rsidRPr="00F12C3C">
              <w:rPr>
                <w:rFonts w:cs="Arial"/>
                <w:sz w:val="20"/>
              </w:rPr>
              <w:t>NA</w:t>
            </w:r>
          </w:p>
        </w:tc>
        <w:tc>
          <w:tcPr>
            <w:tcW w:w="1130" w:type="dxa"/>
            <w:shd w:val="clear" w:color="auto" w:fill="auto"/>
          </w:tcPr>
          <w:p w14:paraId="501B8087" w14:textId="77777777" w:rsidR="004002DA" w:rsidRPr="00F12C3C" w:rsidRDefault="004002DA" w:rsidP="004002DA">
            <w:pPr>
              <w:jc w:val="center"/>
              <w:rPr>
                <w:rFonts w:cs="Arial"/>
                <w:sz w:val="20"/>
              </w:rPr>
            </w:pPr>
          </w:p>
        </w:tc>
        <w:tc>
          <w:tcPr>
            <w:tcW w:w="1454" w:type="dxa"/>
            <w:shd w:val="clear" w:color="auto" w:fill="auto"/>
          </w:tcPr>
          <w:p w14:paraId="4A1E8C7D" w14:textId="77777777" w:rsidR="004002DA" w:rsidRPr="00F12C3C" w:rsidRDefault="004002DA" w:rsidP="004002DA">
            <w:pPr>
              <w:jc w:val="center"/>
              <w:rPr>
                <w:rFonts w:cs="Arial"/>
                <w:sz w:val="20"/>
              </w:rPr>
            </w:pPr>
          </w:p>
        </w:tc>
        <w:tc>
          <w:tcPr>
            <w:tcW w:w="1642" w:type="dxa"/>
            <w:shd w:val="clear" w:color="auto" w:fill="auto"/>
          </w:tcPr>
          <w:p w14:paraId="11008243" w14:textId="77777777" w:rsidR="004002DA" w:rsidRPr="00F12C3C" w:rsidRDefault="004002DA" w:rsidP="004002DA">
            <w:pPr>
              <w:rPr>
                <w:rFonts w:cs="Arial"/>
                <w:sz w:val="20"/>
              </w:rPr>
            </w:pPr>
            <w:r w:rsidRPr="00F12C3C">
              <w:rPr>
                <w:rFonts w:cs="Arial"/>
                <w:sz w:val="20"/>
              </w:rPr>
              <w:t>2023</w:t>
            </w:r>
          </w:p>
        </w:tc>
        <w:tc>
          <w:tcPr>
            <w:tcW w:w="1253" w:type="dxa"/>
            <w:shd w:val="clear" w:color="auto" w:fill="auto"/>
          </w:tcPr>
          <w:p w14:paraId="5B91F890" w14:textId="77777777" w:rsidR="004002DA" w:rsidRPr="00F12C3C" w:rsidRDefault="004002DA" w:rsidP="004002DA">
            <w:pPr>
              <w:rPr>
                <w:rFonts w:cs="Arial"/>
                <w:sz w:val="20"/>
              </w:rPr>
            </w:pPr>
            <w:r w:rsidRPr="00F12C3C">
              <w:rPr>
                <w:rFonts w:cs="Arial"/>
                <w:sz w:val="20"/>
              </w:rPr>
              <w:t>TBD</w:t>
            </w:r>
          </w:p>
        </w:tc>
        <w:tc>
          <w:tcPr>
            <w:tcW w:w="1141" w:type="dxa"/>
            <w:shd w:val="clear" w:color="auto" w:fill="auto"/>
          </w:tcPr>
          <w:p w14:paraId="09F99D4F" w14:textId="77777777" w:rsidR="004002DA" w:rsidRPr="00F12C3C" w:rsidRDefault="004002DA" w:rsidP="004002DA">
            <w:pPr>
              <w:rPr>
                <w:rFonts w:cs="Arial"/>
                <w:sz w:val="20"/>
              </w:rPr>
            </w:pPr>
            <w:r w:rsidRPr="00F12C3C">
              <w:rPr>
                <w:rFonts w:cs="Arial"/>
                <w:sz w:val="20"/>
              </w:rPr>
              <w:t>US$ 35,000</w:t>
            </w:r>
          </w:p>
        </w:tc>
      </w:tr>
    </w:tbl>
    <w:p w14:paraId="57E07CB5" w14:textId="77777777" w:rsidR="004002DA" w:rsidRDefault="004002DA" w:rsidP="004002DA">
      <w:pPr>
        <w:pStyle w:val="Heading1"/>
        <w:ind w:left="720" w:hanging="720"/>
        <w:rPr>
          <w:rFonts w:asciiTheme="minorBidi" w:hAnsiTheme="minorBidi" w:cstheme="minorBidi"/>
          <w:sz w:val="20"/>
        </w:rPr>
      </w:pPr>
      <w:bookmarkStart w:id="30" w:name="_Toc22304428"/>
      <w:bookmarkStart w:id="31" w:name="_Toc22540837"/>
      <w:bookmarkStart w:id="32" w:name="_Toc22541353"/>
    </w:p>
    <w:p w14:paraId="5A1D2104" w14:textId="77777777" w:rsidR="004002DA" w:rsidRPr="0041504B" w:rsidRDefault="004002DA" w:rsidP="002A6590">
      <w:pPr>
        <w:pStyle w:val="Heading1"/>
        <w:keepNext/>
        <w:numPr>
          <w:ilvl w:val="0"/>
          <w:numId w:val="27"/>
        </w:numPr>
        <w:pBdr>
          <w:top w:val="single" w:sz="4" w:space="1" w:color="auto"/>
        </w:pBdr>
        <w:suppressAutoHyphens/>
        <w:spacing w:before="104" w:after="226" w:line="240" w:lineRule="auto"/>
        <w:jc w:val="both"/>
        <w:rPr>
          <w:rFonts w:asciiTheme="minorBidi" w:hAnsiTheme="minorBidi" w:cstheme="minorBidi"/>
          <w:sz w:val="20"/>
        </w:rPr>
      </w:pPr>
      <w:bookmarkStart w:id="33" w:name="_Toc48809752"/>
      <w:r w:rsidRPr="0041504B">
        <w:rPr>
          <w:rFonts w:asciiTheme="minorBidi" w:hAnsiTheme="minorBidi" w:cstheme="minorBidi"/>
          <w:sz w:val="20"/>
        </w:rPr>
        <w:t>Governance and Management Arrangements</w:t>
      </w:r>
      <w:bookmarkEnd w:id="30"/>
      <w:bookmarkEnd w:id="31"/>
      <w:bookmarkEnd w:id="32"/>
      <w:bookmarkEnd w:id="33"/>
    </w:p>
    <w:tbl>
      <w:tblPr>
        <w:tblpPr w:leftFromText="142" w:rightFromText="142" w:vertAnchor="text" w:horzAnchor="margin" w:tblpY="33"/>
        <w:tblW w:w="96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43"/>
        <w:gridCol w:w="6679"/>
      </w:tblGrid>
      <w:tr w:rsidR="004002DA" w:rsidRPr="006F767C" w14:paraId="50D28D33" w14:textId="77777777" w:rsidTr="004002DA">
        <w:trPr>
          <w:trHeight w:val="454"/>
        </w:trPr>
        <w:tc>
          <w:tcPr>
            <w:tcW w:w="9622" w:type="dxa"/>
            <w:gridSpan w:val="2"/>
            <w:shd w:val="clear" w:color="auto" w:fill="000080"/>
          </w:tcPr>
          <w:p w14:paraId="2A887A8F" w14:textId="77777777" w:rsidR="004002DA" w:rsidRPr="0041504B" w:rsidRDefault="004002DA" w:rsidP="004002DA">
            <w:pPr>
              <w:spacing w:line="240" w:lineRule="exact"/>
              <w:rPr>
                <w:rFonts w:asciiTheme="minorBidi" w:hAnsiTheme="minorBidi" w:cstheme="minorBidi"/>
                <w:b/>
                <w:color w:val="FFFFFF"/>
                <w:sz w:val="20"/>
                <w:lang w:val="en-US"/>
              </w:rPr>
            </w:pPr>
            <w:r w:rsidRPr="0041504B">
              <w:rPr>
                <w:rFonts w:asciiTheme="minorBidi" w:hAnsiTheme="minorBidi" w:cstheme="minorBidi"/>
                <w:b/>
                <w:color w:val="FFFFFF"/>
                <w:sz w:val="20"/>
                <w:lang w:val="en-US"/>
              </w:rPr>
              <w:t>Roles and implementation responsibility by entities of your organization</w:t>
            </w:r>
          </w:p>
        </w:tc>
      </w:tr>
      <w:tr w:rsidR="004002DA" w:rsidRPr="006F767C" w14:paraId="01D96A7C" w14:textId="77777777" w:rsidTr="004002DA">
        <w:tc>
          <w:tcPr>
            <w:tcW w:w="2943" w:type="dxa"/>
            <w:shd w:val="clear" w:color="auto" w:fill="auto"/>
          </w:tcPr>
          <w:p w14:paraId="387FC1C8" w14:textId="77777777" w:rsidR="004002DA" w:rsidRPr="00F12C3C" w:rsidRDefault="004002DA" w:rsidP="004002DA">
            <w:pPr>
              <w:rPr>
                <w:rFonts w:eastAsia="MS Mincho" w:cs="Arial"/>
                <w:b/>
                <w:sz w:val="20"/>
              </w:rPr>
            </w:pPr>
            <w:r w:rsidRPr="00F12C3C">
              <w:rPr>
                <w:rFonts w:eastAsia="MS Mincho" w:cs="Arial"/>
                <w:b/>
                <w:sz w:val="20"/>
              </w:rPr>
              <w:t>Entities</w:t>
            </w:r>
          </w:p>
        </w:tc>
        <w:tc>
          <w:tcPr>
            <w:tcW w:w="6679" w:type="dxa"/>
            <w:shd w:val="clear" w:color="auto" w:fill="auto"/>
          </w:tcPr>
          <w:p w14:paraId="1839F0D9" w14:textId="77777777" w:rsidR="004002DA" w:rsidRPr="00F12C3C" w:rsidRDefault="004002DA" w:rsidP="004002DA">
            <w:pPr>
              <w:spacing w:line="240" w:lineRule="exact"/>
              <w:rPr>
                <w:rFonts w:eastAsia="MS Mincho" w:cs="Arial"/>
                <w:b/>
                <w:sz w:val="20"/>
                <w:lang w:val="en-US"/>
              </w:rPr>
            </w:pPr>
            <w:r w:rsidRPr="00F12C3C">
              <w:rPr>
                <w:rFonts w:eastAsia="MS Mincho" w:cs="Arial"/>
                <w:b/>
                <w:sz w:val="20"/>
                <w:lang w:val="en-US"/>
              </w:rPr>
              <w:t>Role and responsibility for implementing Project (e.g. technical expertise for infrastructure design study)</w:t>
            </w:r>
          </w:p>
        </w:tc>
      </w:tr>
      <w:tr w:rsidR="004002DA" w:rsidRPr="0041504B" w14:paraId="45AC2A04" w14:textId="77777777" w:rsidTr="004002DA">
        <w:tc>
          <w:tcPr>
            <w:tcW w:w="2943" w:type="dxa"/>
            <w:shd w:val="clear" w:color="auto" w:fill="auto"/>
          </w:tcPr>
          <w:p w14:paraId="0CD6CCA0" w14:textId="77777777" w:rsidR="004002DA" w:rsidRPr="00F12C3C" w:rsidRDefault="004002DA" w:rsidP="004002DA">
            <w:pPr>
              <w:rPr>
                <w:rFonts w:eastAsia="MS Mincho" w:cs="Arial"/>
                <w:sz w:val="20"/>
              </w:rPr>
            </w:pPr>
            <w:r w:rsidRPr="00F12C3C">
              <w:rPr>
                <w:rFonts w:eastAsia="MS Mincho" w:cs="Arial"/>
                <w:sz w:val="20"/>
              </w:rPr>
              <w:lastRenderedPageBreak/>
              <w:t>Field Office</w:t>
            </w:r>
          </w:p>
        </w:tc>
        <w:tc>
          <w:tcPr>
            <w:tcW w:w="6679" w:type="dxa"/>
            <w:shd w:val="clear" w:color="auto" w:fill="auto"/>
          </w:tcPr>
          <w:p w14:paraId="2774C4BC" w14:textId="77777777" w:rsidR="004002DA" w:rsidRPr="00F12C3C" w:rsidRDefault="004002DA" w:rsidP="004002DA">
            <w:pPr>
              <w:spacing w:line="240" w:lineRule="exact"/>
              <w:rPr>
                <w:rFonts w:eastAsia="MS Mincho" w:cs="Arial"/>
                <w:sz w:val="20"/>
              </w:rPr>
            </w:pPr>
            <w:r w:rsidRPr="00F12C3C">
              <w:rPr>
                <w:rFonts w:eastAsia="MS Mincho" w:cs="Arial"/>
                <w:sz w:val="20"/>
              </w:rPr>
              <w:t>PAPP</w:t>
            </w:r>
          </w:p>
        </w:tc>
      </w:tr>
      <w:tr w:rsidR="004002DA" w:rsidRPr="0041504B" w14:paraId="47152DF7" w14:textId="77777777" w:rsidTr="004002DA">
        <w:tc>
          <w:tcPr>
            <w:tcW w:w="2943" w:type="dxa"/>
            <w:shd w:val="clear" w:color="auto" w:fill="auto"/>
          </w:tcPr>
          <w:p w14:paraId="78D4C237" w14:textId="77777777" w:rsidR="004002DA" w:rsidRPr="00F12C3C" w:rsidRDefault="004002DA" w:rsidP="004002DA">
            <w:pPr>
              <w:rPr>
                <w:rFonts w:eastAsia="MS Mincho" w:cs="Arial"/>
                <w:sz w:val="20"/>
              </w:rPr>
            </w:pPr>
            <w:r w:rsidRPr="00F12C3C">
              <w:rPr>
                <w:rFonts w:eastAsia="MS Mincho" w:cs="Arial"/>
                <w:sz w:val="20"/>
              </w:rPr>
              <w:t>Country Office</w:t>
            </w:r>
          </w:p>
        </w:tc>
        <w:tc>
          <w:tcPr>
            <w:tcW w:w="6679" w:type="dxa"/>
            <w:shd w:val="clear" w:color="auto" w:fill="auto"/>
          </w:tcPr>
          <w:p w14:paraId="152BA993" w14:textId="77777777" w:rsidR="004002DA" w:rsidRPr="00F12C3C" w:rsidRDefault="004002DA" w:rsidP="004002DA">
            <w:pPr>
              <w:spacing w:line="240" w:lineRule="exact"/>
              <w:rPr>
                <w:rFonts w:eastAsia="MS Mincho" w:cs="Arial"/>
                <w:sz w:val="20"/>
              </w:rPr>
            </w:pPr>
            <w:r w:rsidRPr="00F12C3C">
              <w:rPr>
                <w:rFonts w:eastAsia="MS Mincho" w:cs="Arial"/>
                <w:sz w:val="20"/>
              </w:rPr>
              <w:t>PAPP</w:t>
            </w:r>
          </w:p>
        </w:tc>
      </w:tr>
      <w:tr w:rsidR="004002DA" w:rsidRPr="0041504B" w14:paraId="78FC891D" w14:textId="77777777" w:rsidTr="004002DA">
        <w:tc>
          <w:tcPr>
            <w:tcW w:w="2943" w:type="dxa"/>
            <w:shd w:val="clear" w:color="auto" w:fill="auto"/>
          </w:tcPr>
          <w:p w14:paraId="1291341A" w14:textId="77777777" w:rsidR="004002DA" w:rsidRPr="00F12C3C" w:rsidRDefault="004002DA" w:rsidP="004002DA">
            <w:pPr>
              <w:rPr>
                <w:rFonts w:eastAsia="MS Mincho" w:cs="Arial"/>
                <w:sz w:val="20"/>
              </w:rPr>
            </w:pPr>
            <w:r w:rsidRPr="00F12C3C">
              <w:rPr>
                <w:rFonts w:eastAsia="MS Mincho" w:cs="Arial"/>
                <w:sz w:val="20"/>
              </w:rPr>
              <w:t>Regional Office (if applicable)</w:t>
            </w:r>
          </w:p>
        </w:tc>
        <w:tc>
          <w:tcPr>
            <w:tcW w:w="6679" w:type="dxa"/>
            <w:shd w:val="clear" w:color="auto" w:fill="auto"/>
          </w:tcPr>
          <w:p w14:paraId="678874FA" w14:textId="77777777" w:rsidR="004002DA" w:rsidRPr="00F12C3C" w:rsidRDefault="004002DA" w:rsidP="004002DA">
            <w:pPr>
              <w:spacing w:line="240" w:lineRule="exact"/>
              <w:rPr>
                <w:rFonts w:eastAsia="MS Mincho" w:cs="Arial"/>
                <w:sz w:val="20"/>
              </w:rPr>
            </w:pPr>
            <w:r w:rsidRPr="00F12C3C">
              <w:rPr>
                <w:rFonts w:eastAsia="MS Mincho" w:cs="Arial"/>
                <w:sz w:val="20"/>
              </w:rPr>
              <w:t>UNDP RBAS</w:t>
            </w:r>
          </w:p>
        </w:tc>
      </w:tr>
      <w:tr w:rsidR="004002DA" w:rsidRPr="0041504B" w14:paraId="05EEF221" w14:textId="77777777" w:rsidTr="004002DA">
        <w:tc>
          <w:tcPr>
            <w:tcW w:w="2943" w:type="dxa"/>
            <w:shd w:val="clear" w:color="auto" w:fill="auto"/>
          </w:tcPr>
          <w:p w14:paraId="0B2505C4" w14:textId="77777777" w:rsidR="004002DA" w:rsidRPr="00F12C3C" w:rsidRDefault="004002DA" w:rsidP="004002DA">
            <w:pPr>
              <w:rPr>
                <w:rFonts w:eastAsia="MS Mincho" w:cs="Arial"/>
                <w:sz w:val="20"/>
              </w:rPr>
            </w:pPr>
            <w:r w:rsidRPr="00F12C3C">
              <w:rPr>
                <w:rFonts w:eastAsia="MS Mincho" w:cs="Arial"/>
                <w:sz w:val="20"/>
              </w:rPr>
              <w:t>Global HQ (if applicable)</w:t>
            </w:r>
          </w:p>
        </w:tc>
        <w:tc>
          <w:tcPr>
            <w:tcW w:w="6679" w:type="dxa"/>
            <w:shd w:val="clear" w:color="auto" w:fill="auto"/>
          </w:tcPr>
          <w:p w14:paraId="265AD6CB" w14:textId="77777777" w:rsidR="004002DA" w:rsidRPr="00F12C3C" w:rsidRDefault="004002DA" w:rsidP="004002DA">
            <w:pPr>
              <w:spacing w:line="240" w:lineRule="exact"/>
              <w:rPr>
                <w:rFonts w:eastAsia="MS Mincho" w:cs="Arial"/>
                <w:sz w:val="20"/>
              </w:rPr>
            </w:pPr>
            <w:r w:rsidRPr="00F12C3C">
              <w:rPr>
                <w:rFonts w:eastAsia="MS Mincho" w:cs="Arial"/>
                <w:sz w:val="20"/>
              </w:rPr>
              <w:t>UNDP HQ</w:t>
            </w:r>
          </w:p>
        </w:tc>
      </w:tr>
    </w:tbl>
    <w:p w14:paraId="3ACBA14C" w14:textId="77777777" w:rsidR="004002DA" w:rsidRPr="0041504B" w:rsidRDefault="004002DA" w:rsidP="004002DA">
      <w:pPr>
        <w:rPr>
          <w:rFonts w:asciiTheme="minorBidi" w:eastAsia="Arial" w:hAnsiTheme="minorBidi" w:cstheme="minorBidi"/>
          <w:b/>
          <w:bCs/>
          <w:sz w:val="16"/>
          <w:szCs w:val="16"/>
        </w:rPr>
      </w:pPr>
    </w:p>
    <w:p w14:paraId="30F7BB20" w14:textId="77777777" w:rsidR="004002DA" w:rsidRDefault="004002DA" w:rsidP="004002DA">
      <w:pPr>
        <w:rPr>
          <w:rFonts w:asciiTheme="minorBidi" w:eastAsia="Arial" w:hAnsiTheme="minorBidi" w:cstheme="minorBidi"/>
          <w:b/>
          <w:sz w:val="16"/>
          <w:szCs w:val="16"/>
        </w:rPr>
      </w:pPr>
    </w:p>
    <w:p w14:paraId="2AD27E49" w14:textId="77777777" w:rsidR="004002DA" w:rsidRDefault="004002DA" w:rsidP="004002DA">
      <w:pPr>
        <w:rPr>
          <w:rFonts w:asciiTheme="minorBidi" w:hAnsiTheme="minorBidi" w:cstheme="minorBidi"/>
          <w:bCs/>
          <w:color w:val="808080"/>
          <w:sz w:val="19"/>
        </w:rPr>
      </w:pPr>
      <w:r>
        <w:rPr>
          <w:rFonts w:asciiTheme="minorBidi" w:hAnsiTheme="minorBidi" w:cstheme="minorBidi"/>
        </w:rPr>
        <w:br w:type="page"/>
      </w:r>
    </w:p>
    <w:p w14:paraId="6843912E" w14:textId="77777777" w:rsidR="004002DA" w:rsidRPr="00EB4878" w:rsidRDefault="004002DA" w:rsidP="004002DA">
      <w:pPr>
        <w:pStyle w:val="Caption"/>
        <w:keepNext/>
        <w:rPr>
          <w:rFonts w:asciiTheme="minorBidi" w:hAnsiTheme="minorBidi" w:cstheme="minorBidi"/>
        </w:rPr>
      </w:pPr>
      <w:r w:rsidRPr="00EB4878">
        <w:rPr>
          <w:rFonts w:asciiTheme="minorBidi" w:hAnsiTheme="minorBidi" w:cstheme="minorBidi"/>
        </w:rPr>
        <w:lastRenderedPageBreak/>
        <w:t xml:space="preserve">Figure 2: Programme Organisation Structure </w:t>
      </w:r>
    </w:p>
    <w:p w14:paraId="032589AD" w14:textId="77777777" w:rsidR="004002DA" w:rsidRPr="0041504B" w:rsidRDefault="0066181A" w:rsidP="004002DA">
      <w:pPr>
        <w:spacing w:before="120" w:after="120"/>
        <w:rPr>
          <w:rFonts w:asciiTheme="minorBidi" w:eastAsia="Arial" w:hAnsiTheme="minorBidi" w:cstheme="minorBidi"/>
          <w:b/>
          <w:sz w:val="20"/>
        </w:rPr>
      </w:pPr>
      <w:r w:rsidRPr="00EB4878">
        <w:rPr>
          <w:rFonts w:asciiTheme="minorBidi" w:hAnsiTheme="minorBidi" w:cstheme="minorBidi"/>
          <w:noProof/>
        </w:rPr>
        <mc:AlternateContent>
          <mc:Choice Requires="wpg">
            <w:drawing>
              <wp:anchor distT="0" distB="0" distL="114300" distR="114300" simplePos="0" relativeHeight="251661312" behindDoc="0" locked="0" layoutInCell="1" allowOverlap="1" wp14:anchorId="43052072" wp14:editId="36BA9B18">
                <wp:simplePos x="0" y="0"/>
                <wp:positionH relativeFrom="column">
                  <wp:posOffset>728345</wp:posOffset>
                </wp:positionH>
                <wp:positionV relativeFrom="paragraph">
                  <wp:posOffset>241300</wp:posOffset>
                </wp:positionV>
                <wp:extent cx="4518660" cy="3855085"/>
                <wp:effectExtent l="0" t="0" r="0" b="0"/>
                <wp:wrapNone/>
                <wp:docPr id="18" name="Group 18"/>
                <wp:cNvGraphicFramePr/>
                <a:graphic xmlns:a="http://schemas.openxmlformats.org/drawingml/2006/main">
                  <a:graphicData uri="http://schemas.microsoft.com/office/word/2010/wordprocessingGroup">
                    <wpg:wgp>
                      <wpg:cNvGrpSpPr/>
                      <wpg:grpSpPr>
                        <a:xfrm>
                          <a:off x="0" y="0"/>
                          <a:ext cx="4518660" cy="3855085"/>
                          <a:chOff x="0" y="-47625"/>
                          <a:chExt cx="4518660" cy="3855448"/>
                        </a:xfrm>
                      </wpg:grpSpPr>
                      <wps:wsp>
                        <wps:cNvPr id="5" name="Straight Connector 5"/>
                        <wps:cNvCnPr/>
                        <wps:spPr>
                          <a:xfrm flipH="1">
                            <a:off x="7620" y="3017520"/>
                            <a:ext cx="2926080" cy="76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2270760" y="1059180"/>
                            <a:ext cx="0" cy="17087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Rounded Rectangle 2"/>
                        <wps:cNvSpPr/>
                        <wps:spPr>
                          <a:xfrm>
                            <a:off x="121920" y="-47625"/>
                            <a:ext cx="4364990" cy="615256"/>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06E45" w14:textId="77777777" w:rsidR="0066181A" w:rsidRPr="0041504B" w:rsidRDefault="0066181A" w:rsidP="004002DA">
                              <w:pPr>
                                <w:jc w:val="center"/>
                                <w:rPr>
                                  <w:b/>
                                  <w:bCs/>
                                  <w:color w:val="000000" w:themeColor="text1"/>
                                  <w:sz w:val="18"/>
                                  <w:szCs w:val="18"/>
                                  <w:lang w:val="en-US"/>
                                </w:rPr>
                              </w:pPr>
                              <w:r w:rsidRPr="0041504B">
                                <w:rPr>
                                  <w:b/>
                                  <w:bCs/>
                                  <w:color w:val="000000" w:themeColor="text1"/>
                                  <w:sz w:val="18"/>
                                  <w:szCs w:val="18"/>
                                  <w:lang w:val="en-US"/>
                                </w:rPr>
                                <w:t>IPR</w:t>
                              </w:r>
                            </w:p>
                            <w:p w14:paraId="08732B1B" w14:textId="77777777" w:rsidR="0066181A" w:rsidRPr="0041504B" w:rsidRDefault="0066181A" w:rsidP="004002DA">
                              <w:pPr>
                                <w:jc w:val="center"/>
                                <w:rPr>
                                  <w:b/>
                                  <w:bCs/>
                                  <w:color w:val="000000" w:themeColor="text1"/>
                                  <w:sz w:val="18"/>
                                  <w:szCs w:val="18"/>
                                  <w:lang w:val="en-US"/>
                                </w:rPr>
                              </w:pPr>
                              <w:r w:rsidRPr="0041504B">
                                <w:rPr>
                                  <w:b/>
                                  <w:bCs/>
                                  <w:color w:val="000000" w:themeColor="text1"/>
                                  <w:sz w:val="18"/>
                                  <w:szCs w:val="18"/>
                                  <w:lang w:val="en-US"/>
                                </w:rPr>
                                <w:t>Programme Organization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21920" y="615315"/>
                            <a:ext cx="4389120" cy="354842"/>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768AE9" w14:textId="77777777" w:rsidR="0066181A" w:rsidRPr="0041504B" w:rsidRDefault="0066181A" w:rsidP="004002DA">
                              <w:pPr>
                                <w:jc w:val="center"/>
                                <w:rPr>
                                  <w:b/>
                                  <w:bCs/>
                                  <w:color w:val="000000" w:themeColor="text1"/>
                                  <w:sz w:val="18"/>
                                  <w:szCs w:val="18"/>
                                  <w:lang w:val="en-US"/>
                                </w:rPr>
                              </w:pPr>
                              <w:r w:rsidRPr="0041504B">
                                <w:rPr>
                                  <w:b/>
                                  <w:bCs/>
                                  <w:color w:val="000000" w:themeColor="text1"/>
                                  <w:sz w:val="18"/>
                                  <w:szCs w:val="18"/>
                                  <w:lang w:val="en-US"/>
                                </w:rPr>
                                <w:t>Project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99060" y="1021080"/>
                            <a:ext cx="1463040" cy="54102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2D86C4" w14:textId="77777777" w:rsidR="0066181A" w:rsidRPr="0041504B" w:rsidRDefault="0066181A" w:rsidP="004002DA">
                              <w:pPr>
                                <w:jc w:val="center"/>
                                <w:rPr>
                                  <w:b/>
                                  <w:bCs/>
                                  <w:color w:val="000000" w:themeColor="text1"/>
                                  <w:sz w:val="18"/>
                                  <w:szCs w:val="18"/>
                                  <w:lang w:val="en-US"/>
                                </w:rPr>
                              </w:pPr>
                              <w:r w:rsidRPr="0041504B">
                                <w:rPr>
                                  <w:b/>
                                  <w:bCs/>
                                  <w:color w:val="000000" w:themeColor="text1"/>
                                  <w:sz w:val="18"/>
                                  <w:szCs w:val="18"/>
                                  <w:lang w:val="en-US"/>
                                </w:rPr>
                                <w:t>Senior Beneficiary</w:t>
                              </w:r>
                            </w:p>
                            <w:p w14:paraId="7097FC8B" w14:textId="77777777" w:rsidR="0066181A" w:rsidRPr="0041504B" w:rsidRDefault="0066181A" w:rsidP="004002DA">
                              <w:pPr>
                                <w:jc w:val="center"/>
                                <w:rPr>
                                  <w:b/>
                                  <w:bCs/>
                                  <w:color w:val="000000" w:themeColor="text1"/>
                                  <w:sz w:val="18"/>
                                  <w:szCs w:val="18"/>
                                  <w:lang w:val="en-US"/>
                                </w:rPr>
                              </w:pPr>
                              <w:proofErr w:type="spellStart"/>
                              <w:r w:rsidRPr="0041504B">
                                <w:rPr>
                                  <w:b/>
                                  <w:bCs/>
                                  <w:color w:val="000000" w:themeColor="text1"/>
                                  <w:sz w:val="18"/>
                                  <w:szCs w:val="18"/>
                                  <w:lang w:val="en-US"/>
                                </w:rPr>
                                <w:t>GoP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577340" y="1021080"/>
                            <a:ext cx="1463040" cy="54102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1CA35" w14:textId="77777777" w:rsidR="0066181A" w:rsidRPr="0041504B" w:rsidRDefault="0066181A" w:rsidP="004002DA">
                              <w:pPr>
                                <w:jc w:val="center"/>
                                <w:rPr>
                                  <w:b/>
                                  <w:bCs/>
                                  <w:color w:val="000000" w:themeColor="text1"/>
                                  <w:sz w:val="18"/>
                                  <w:szCs w:val="18"/>
                                  <w:lang w:val="en-US"/>
                                </w:rPr>
                              </w:pPr>
                              <w:r w:rsidRPr="0041504B">
                                <w:rPr>
                                  <w:b/>
                                  <w:bCs/>
                                  <w:color w:val="000000" w:themeColor="text1"/>
                                  <w:sz w:val="18"/>
                                  <w:szCs w:val="18"/>
                                  <w:lang w:val="en-US"/>
                                </w:rPr>
                                <w:t>Executive</w:t>
                              </w:r>
                            </w:p>
                            <w:p w14:paraId="5A4720E1" w14:textId="77777777" w:rsidR="0066181A" w:rsidRPr="0041504B" w:rsidRDefault="0066181A" w:rsidP="004002DA">
                              <w:pPr>
                                <w:jc w:val="center"/>
                                <w:rPr>
                                  <w:b/>
                                  <w:bCs/>
                                  <w:color w:val="000000" w:themeColor="text1"/>
                                  <w:sz w:val="18"/>
                                  <w:szCs w:val="18"/>
                                  <w:lang w:val="en-US"/>
                                </w:rPr>
                              </w:pPr>
                              <w:r w:rsidRPr="0041504B">
                                <w:rPr>
                                  <w:b/>
                                  <w:bCs/>
                                  <w:color w:val="000000" w:themeColor="text1"/>
                                  <w:sz w:val="18"/>
                                  <w:szCs w:val="18"/>
                                  <w:lang w:val="en-US"/>
                                </w:rPr>
                                <w:t xml:space="preserve">UNDP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055620" y="1021080"/>
                            <a:ext cx="1463040" cy="54102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4408B" w14:textId="77777777" w:rsidR="0066181A" w:rsidRPr="0041504B" w:rsidRDefault="0066181A" w:rsidP="004002DA">
                              <w:pPr>
                                <w:jc w:val="center"/>
                                <w:rPr>
                                  <w:b/>
                                  <w:bCs/>
                                  <w:color w:val="000000" w:themeColor="text1"/>
                                  <w:sz w:val="18"/>
                                  <w:szCs w:val="18"/>
                                  <w:lang w:val="en-US"/>
                                </w:rPr>
                              </w:pPr>
                              <w:r w:rsidRPr="0041504B">
                                <w:rPr>
                                  <w:b/>
                                  <w:bCs/>
                                  <w:color w:val="000000" w:themeColor="text1"/>
                                  <w:sz w:val="18"/>
                                  <w:szCs w:val="18"/>
                                  <w:lang w:val="en-US"/>
                                </w:rPr>
                                <w:t>Senior Supply</w:t>
                              </w:r>
                            </w:p>
                            <w:p w14:paraId="65FCCC2A" w14:textId="77777777" w:rsidR="0066181A" w:rsidRPr="0041504B" w:rsidRDefault="0066181A" w:rsidP="004002DA">
                              <w:pPr>
                                <w:jc w:val="center"/>
                                <w:rPr>
                                  <w:b/>
                                  <w:bCs/>
                                  <w:color w:val="000000" w:themeColor="text1"/>
                                  <w:sz w:val="18"/>
                                  <w:szCs w:val="18"/>
                                  <w:lang w:val="en-US"/>
                                </w:rPr>
                              </w:pPr>
                              <w:r w:rsidRPr="0041504B">
                                <w:rPr>
                                  <w:b/>
                                  <w:bCs/>
                                  <w:color w:val="000000" w:themeColor="text1"/>
                                  <w:sz w:val="18"/>
                                  <w:szCs w:val="18"/>
                                  <w:lang w:val="en-US"/>
                                </w:rPr>
                                <w:t>German Cooperation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584960" y="1630680"/>
                            <a:ext cx="1463040" cy="54102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1E8E41" w14:textId="77777777" w:rsidR="0066181A" w:rsidRPr="0041504B" w:rsidRDefault="0066181A" w:rsidP="004002DA">
                              <w:pPr>
                                <w:jc w:val="center"/>
                                <w:rPr>
                                  <w:color w:val="000000" w:themeColor="text1"/>
                                  <w:sz w:val="18"/>
                                  <w:szCs w:val="18"/>
                                  <w:lang w:val="en-US"/>
                                </w:rPr>
                              </w:pPr>
                              <w:r w:rsidRPr="0041504B">
                                <w:rPr>
                                  <w:color w:val="000000" w:themeColor="text1"/>
                                  <w:sz w:val="18"/>
                                  <w:szCs w:val="18"/>
                                  <w:lang w:val="en-US"/>
                                </w:rPr>
                                <w:t xml:space="preserve">UNDP Programme Portfolio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592580" y="2316480"/>
                            <a:ext cx="1463040" cy="1491343"/>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7DCA5" w14:textId="77777777" w:rsidR="0066181A" w:rsidRPr="0041504B" w:rsidRDefault="0066181A" w:rsidP="004002DA">
                              <w:pPr>
                                <w:jc w:val="center"/>
                                <w:rPr>
                                  <w:b/>
                                  <w:bCs/>
                                  <w:color w:val="000000" w:themeColor="text1"/>
                                  <w:sz w:val="18"/>
                                  <w:szCs w:val="18"/>
                                  <w:lang w:val="en-US"/>
                                </w:rPr>
                              </w:pPr>
                              <w:r w:rsidRPr="0041504B">
                                <w:rPr>
                                  <w:b/>
                                  <w:bCs/>
                                  <w:color w:val="000000" w:themeColor="text1"/>
                                  <w:sz w:val="18"/>
                                  <w:szCs w:val="18"/>
                                  <w:lang w:val="en-US"/>
                                </w:rPr>
                                <w:t>Project Implementation Unit</w:t>
                              </w:r>
                            </w:p>
                            <w:p w14:paraId="65D89548" w14:textId="77777777" w:rsidR="0066181A" w:rsidRPr="0041504B" w:rsidRDefault="0066181A" w:rsidP="004002DA">
                              <w:pPr>
                                <w:jc w:val="center"/>
                                <w:rPr>
                                  <w:color w:val="000000" w:themeColor="text1"/>
                                  <w:sz w:val="18"/>
                                  <w:szCs w:val="18"/>
                                  <w:lang w:val="en-US"/>
                                </w:rPr>
                              </w:pPr>
                              <w:r w:rsidRPr="0041504B">
                                <w:rPr>
                                  <w:color w:val="000000" w:themeColor="text1"/>
                                  <w:sz w:val="18"/>
                                  <w:szCs w:val="18"/>
                                  <w:lang w:val="en-US"/>
                                </w:rPr>
                                <w:t>Project Manager</w:t>
                              </w:r>
                            </w:p>
                            <w:p w14:paraId="40E3E836" w14:textId="77777777" w:rsidR="0066181A" w:rsidRPr="0041504B" w:rsidRDefault="0066181A" w:rsidP="004002DA">
                              <w:pPr>
                                <w:jc w:val="center"/>
                                <w:rPr>
                                  <w:color w:val="000000" w:themeColor="text1"/>
                                  <w:sz w:val="18"/>
                                  <w:szCs w:val="18"/>
                                  <w:lang w:val="en-US"/>
                                </w:rPr>
                              </w:pPr>
                              <w:r w:rsidRPr="0041504B">
                                <w:rPr>
                                  <w:color w:val="000000" w:themeColor="text1"/>
                                  <w:sz w:val="18"/>
                                  <w:szCs w:val="18"/>
                                  <w:lang w:val="en-US"/>
                                </w:rPr>
                                <w:t>Business Solutions and Service Center- Programme Associate</w:t>
                              </w:r>
                            </w:p>
                            <w:p w14:paraId="02503F88" w14:textId="77777777" w:rsidR="0066181A" w:rsidRPr="0041504B" w:rsidRDefault="0066181A" w:rsidP="004002DA">
                              <w:pPr>
                                <w:jc w:val="center"/>
                                <w:rPr>
                                  <w:color w:val="000000" w:themeColor="text1"/>
                                  <w:sz w:val="18"/>
                                  <w:szCs w:val="18"/>
                                  <w:lang w:val="en-US"/>
                                </w:rPr>
                              </w:pPr>
                              <w:r w:rsidRPr="0041504B">
                                <w:rPr>
                                  <w:color w:val="000000" w:themeColor="text1"/>
                                  <w:sz w:val="18"/>
                                  <w:szCs w:val="18"/>
                                  <w:lang w:val="en-US"/>
                                </w:rPr>
                                <w:t xml:space="preserve">Site Engineers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2301240"/>
                            <a:ext cx="1463040" cy="149669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CF8BE1" w14:textId="77777777" w:rsidR="0066181A" w:rsidRPr="0041504B" w:rsidRDefault="0066181A" w:rsidP="004002DA">
                              <w:pPr>
                                <w:jc w:val="center"/>
                                <w:rPr>
                                  <w:b/>
                                  <w:bCs/>
                                  <w:color w:val="000000" w:themeColor="text1"/>
                                  <w:sz w:val="18"/>
                                  <w:szCs w:val="18"/>
                                  <w:lang w:val="en-US"/>
                                </w:rPr>
                              </w:pPr>
                              <w:r w:rsidRPr="0041504B">
                                <w:rPr>
                                  <w:b/>
                                  <w:bCs/>
                                  <w:color w:val="000000" w:themeColor="text1"/>
                                  <w:sz w:val="18"/>
                                  <w:szCs w:val="18"/>
                                  <w:lang w:val="en-US"/>
                                </w:rPr>
                                <w:t>Project Support</w:t>
                              </w:r>
                            </w:p>
                            <w:p w14:paraId="71363A4F" w14:textId="77777777" w:rsidR="0066181A" w:rsidRPr="0041504B" w:rsidRDefault="0066181A" w:rsidP="004002DA">
                              <w:pPr>
                                <w:jc w:val="center"/>
                                <w:rPr>
                                  <w:color w:val="000000" w:themeColor="text1"/>
                                  <w:sz w:val="18"/>
                                  <w:szCs w:val="18"/>
                                  <w:lang w:val="en-US"/>
                                </w:rPr>
                              </w:pPr>
                              <w:r w:rsidRPr="0041504B">
                                <w:rPr>
                                  <w:color w:val="000000" w:themeColor="text1"/>
                                  <w:sz w:val="18"/>
                                  <w:szCs w:val="18"/>
                                  <w:lang w:val="en-US"/>
                                </w:rPr>
                                <w:t>Resilience/ Social Cohesion Specialist</w:t>
                              </w:r>
                            </w:p>
                            <w:p w14:paraId="4867E767" w14:textId="77777777" w:rsidR="0066181A" w:rsidRPr="0041504B" w:rsidRDefault="0066181A" w:rsidP="004002DA">
                              <w:pPr>
                                <w:jc w:val="center"/>
                                <w:rPr>
                                  <w:color w:val="000000" w:themeColor="text1"/>
                                  <w:sz w:val="18"/>
                                  <w:szCs w:val="18"/>
                                  <w:lang w:val="en-US"/>
                                </w:rPr>
                              </w:pPr>
                              <w:r w:rsidRPr="0041504B">
                                <w:rPr>
                                  <w:color w:val="000000" w:themeColor="text1"/>
                                  <w:sz w:val="18"/>
                                  <w:szCs w:val="18"/>
                                  <w:lang w:val="en-US"/>
                                </w:rPr>
                                <w:t>Procurement Analyst</w:t>
                              </w:r>
                            </w:p>
                            <w:p w14:paraId="55253A40" w14:textId="77777777" w:rsidR="0066181A" w:rsidRPr="0041504B" w:rsidRDefault="0066181A" w:rsidP="004002DA">
                              <w:pPr>
                                <w:jc w:val="center"/>
                                <w:rPr>
                                  <w:color w:val="000000" w:themeColor="text1"/>
                                  <w:sz w:val="18"/>
                                  <w:szCs w:val="18"/>
                                  <w:lang w:val="en-US"/>
                                </w:rPr>
                              </w:pPr>
                              <w:r w:rsidRPr="0041504B">
                                <w:rPr>
                                  <w:color w:val="000000" w:themeColor="text1"/>
                                  <w:sz w:val="18"/>
                                  <w:szCs w:val="18"/>
                                  <w:lang w:val="en-US"/>
                                </w:rPr>
                                <w:t>Communication Specialist</w:t>
                              </w:r>
                            </w:p>
                            <w:p w14:paraId="10388F4E" w14:textId="77777777" w:rsidR="0066181A" w:rsidRPr="0041504B" w:rsidRDefault="0066181A" w:rsidP="004002DA">
                              <w:pPr>
                                <w:jc w:val="center"/>
                                <w:rPr>
                                  <w:color w:val="000000" w:themeColor="text1"/>
                                  <w:sz w:val="18"/>
                                  <w:szCs w:val="18"/>
                                  <w:lang w:val="en-US"/>
                                </w:rPr>
                              </w:pPr>
                              <w:r w:rsidRPr="0041504B">
                                <w:rPr>
                                  <w:color w:val="000000" w:themeColor="text1"/>
                                  <w:sz w:val="18"/>
                                  <w:szCs w:val="18"/>
                                  <w:lang w:val="en-US"/>
                                </w:rPr>
                                <w:t xml:space="preserve">Reporting &amp; Monitoring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08FED10">
              <v:group id="Group 18" style="position:absolute;margin-left:57.35pt;margin-top:19pt;width:355.8pt;height:303.55pt;z-index:251661312;mso-height-relative:margin" coordsize="45186,38554" coordorigin=",-476" o:spid="_x0000_s1027" w14:anchorId="4305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">
                <v:line id="Straight Connector 5" style="position:absolute;flip:x;visibility:visible;mso-wrap-style:square" o:spid="_x0000_s1028" strokecolor="#4579b8 [3044]" o:connectortype="straight" from="76,30175" to="29337,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"/>
                <v:line id="Straight Connector 16" style="position:absolute;visibility:visible;mso-wrap-style:square" o:spid="_x0000_s1029" strokecolor="#4579b8 [3044]" o:connectortype="straight" from="22707,10591" to="22707,2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"/>
                <v:roundrect id="Rounded Rectangle 2" style="position:absolute;left:1219;top:-476;width:43650;height:6152;visibility:visible;mso-wrap-style:square;v-text-anchor:middle" o:spid="_x0000_s1030" fillcolor="#dbe5f1 [660]" stroked="f"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">
                  <v:textbox>
                    <w:txbxContent>
                      <w:p w:rsidRPr="0041504B" w:rsidR="0066181A" w:rsidP="004002DA" w:rsidRDefault="0066181A" w14:paraId="3A533182" w14:textId="77777777">
                        <w:pPr>
                          <w:jc w:val="center"/>
                          <w:rPr>
                            <w:b/>
                            <w:bCs/>
                            <w:color w:val="000000" w:themeColor="text1"/>
                            <w:sz w:val="18"/>
                            <w:szCs w:val="18"/>
                            <w:lang w:val="en-US"/>
                          </w:rPr>
                        </w:pPr>
                        <w:r w:rsidRPr="0041504B">
                          <w:rPr>
                            <w:b/>
                            <w:bCs/>
                            <w:color w:val="000000" w:themeColor="text1"/>
                            <w:sz w:val="18"/>
                            <w:szCs w:val="18"/>
                            <w:lang w:val="en-US"/>
                          </w:rPr>
                          <w:t>IPR</w:t>
                        </w:r>
                      </w:p>
                      <w:p w:rsidRPr="0041504B" w:rsidR="0066181A" w:rsidP="004002DA" w:rsidRDefault="0066181A" w14:paraId="0FDFE003" w14:textId="77777777">
                        <w:pPr>
                          <w:jc w:val="center"/>
                          <w:rPr>
                            <w:b/>
                            <w:bCs/>
                            <w:color w:val="000000" w:themeColor="text1"/>
                            <w:sz w:val="18"/>
                            <w:szCs w:val="18"/>
                            <w:lang w:val="en-US"/>
                          </w:rPr>
                        </w:pPr>
                        <w:r w:rsidRPr="0041504B">
                          <w:rPr>
                            <w:b/>
                            <w:bCs/>
                            <w:color w:val="000000" w:themeColor="text1"/>
                            <w:sz w:val="18"/>
                            <w:szCs w:val="18"/>
                            <w:lang w:val="en-US"/>
                          </w:rPr>
                          <w:t>Programme Organization Structure</w:t>
                        </w:r>
                      </w:p>
                    </w:txbxContent>
                  </v:textbox>
                </v:roundrect>
                <v:rect id="Rectangle 6" style="position:absolute;left:1219;top:6153;width:43891;height:3548;visibility:visible;mso-wrap-style:square;v-text-anchor:middle" o:spid="_x0000_s1031" fillcolor="#b8cce4 [130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">
                  <v:textbox>
                    <w:txbxContent>
                      <w:p w:rsidRPr="0041504B" w:rsidR="0066181A" w:rsidP="004002DA" w:rsidRDefault="0066181A" w14:paraId="4A9DEA11" w14:textId="77777777">
                        <w:pPr>
                          <w:jc w:val="center"/>
                          <w:rPr>
                            <w:b/>
                            <w:bCs/>
                            <w:color w:val="000000" w:themeColor="text1"/>
                            <w:sz w:val="18"/>
                            <w:szCs w:val="18"/>
                            <w:lang w:val="en-US"/>
                          </w:rPr>
                        </w:pPr>
                        <w:r w:rsidRPr="0041504B">
                          <w:rPr>
                            <w:b/>
                            <w:bCs/>
                            <w:color w:val="000000" w:themeColor="text1"/>
                            <w:sz w:val="18"/>
                            <w:szCs w:val="18"/>
                            <w:lang w:val="en-US"/>
                          </w:rPr>
                          <w:t>Project Board</w:t>
                        </w:r>
                      </w:p>
                    </w:txbxContent>
                  </v:textbox>
                </v:rect>
                <v:rect id="Rectangle 7" style="position:absolute;left:990;top:10210;width:14631;height:5411;visibility:visible;mso-wrap-style:square;v-text-anchor:middle" o:spid="_x0000_s1032" fillcolor="#c2d69b [194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">
                  <v:textbox>
                    <w:txbxContent>
                      <w:p w:rsidRPr="0041504B" w:rsidR="0066181A" w:rsidP="004002DA" w:rsidRDefault="0066181A" w14:paraId="307A7032" w14:textId="77777777">
                        <w:pPr>
                          <w:jc w:val="center"/>
                          <w:rPr>
                            <w:b/>
                            <w:bCs/>
                            <w:color w:val="000000" w:themeColor="text1"/>
                            <w:sz w:val="18"/>
                            <w:szCs w:val="18"/>
                            <w:lang w:val="en-US"/>
                          </w:rPr>
                        </w:pPr>
                        <w:r w:rsidRPr="0041504B">
                          <w:rPr>
                            <w:b/>
                            <w:bCs/>
                            <w:color w:val="000000" w:themeColor="text1"/>
                            <w:sz w:val="18"/>
                            <w:szCs w:val="18"/>
                            <w:lang w:val="en-US"/>
                          </w:rPr>
                          <w:t>Senior Beneficiary</w:t>
                        </w:r>
                      </w:p>
                      <w:p w:rsidRPr="0041504B" w:rsidR="0066181A" w:rsidP="004002DA" w:rsidRDefault="0066181A" w14:paraId="0A4755C7" w14:textId="77777777">
                        <w:pPr>
                          <w:jc w:val="center"/>
                          <w:rPr>
                            <w:b/>
                            <w:bCs/>
                            <w:color w:val="000000" w:themeColor="text1"/>
                            <w:sz w:val="18"/>
                            <w:szCs w:val="18"/>
                            <w:lang w:val="en-US"/>
                          </w:rPr>
                        </w:pPr>
                        <w:r w:rsidRPr="0041504B">
                          <w:rPr>
                            <w:b/>
                            <w:bCs/>
                            <w:color w:val="000000" w:themeColor="text1"/>
                            <w:sz w:val="18"/>
                            <w:szCs w:val="18"/>
                            <w:lang w:val="en-US"/>
                          </w:rPr>
                          <w:t>GoP</w:t>
                        </w:r>
                      </w:p>
                    </w:txbxContent>
                  </v:textbox>
                </v:rect>
                <v:rect id="Rectangle 8" style="position:absolute;left:15773;top:10210;width:14630;height:5411;visibility:visible;mso-wrap-style:square;v-text-anchor:middle" o:spid="_x0000_s1033" fillcolor="#c2d69b [194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">
                  <v:textbox>
                    <w:txbxContent>
                      <w:p w:rsidRPr="0041504B" w:rsidR="0066181A" w:rsidP="004002DA" w:rsidRDefault="0066181A" w14:paraId="04A906AF" w14:textId="77777777">
                        <w:pPr>
                          <w:jc w:val="center"/>
                          <w:rPr>
                            <w:b/>
                            <w:bCs/>
                            <w:color w:val="000000" w:themeColor="text1"/>
                            <w:sz w:val="18"/>
                            <w:szCs w:val="18"/>
                            <w:lang w:val="en-US"/>
                          </w:rPr>
                        </w:pPr>
                        <w:r w:rsidRPr="0041504B">
                          <w:rPr>
                            <w:b/>
                            <w:bCs/>
                            <w:color w:val="000000" w:themeColor="text1"/>
                            <w:sz w:val="18"/>
                            <w:szCs w:val="18"/>
                            <w:lang w:val="en-US"/>
                          </w:rPr>
                          <w:t>Executive</w:t>
                        </w:r>
                      </w:p>
                      <w:p w:rsidRPr="0041504B" w:rsidR="0066181A" w:rsidP="004002DA" w:rsidRDefault="0066181A" w14:paraId="08B5D3AA" w14:textId="77777777">
                        <w:pPr>
                          <w:jc w:val="center"/>
                          <w:rPr>
                            <w:b/>
                            <w:bCs/>
                            <w:color w:val="000000" w:themeColor="text1"/>
                            <w:sz w:val="18"/>
                            <w:szCs w:val="18"/>
                            <w:lang w:val="en-US"/>
                          </w:rPr>
                        </w:pPr>
                        <w:r w:rsidRPr="0041504B">
                          <w:rPr>
                            <w:b/>
                            <w:bCs/>
                            <w:color w:val="000000" w:themeColor="text1"/>
                            <w:sz w:val="18"/>
                            <w:szCs w:val="18"/>
                            <w:lang w:val="en-US"/>
                          </w:rPr>
                          <w:t xml:space="preserve">UNDP </w:t>
                        </w:r>
                      </w:p>
                    </w:txbxContent>
                  </v:textbox>
                </v:rect>
                <v:rect id="Rectangle 9" style="position:absolute;left:30556;top:10210;width:14630;height:5411;visibility:visible;mso-wrap-style:square;v-text-anchor:middle" o:spid="_x0000_s1034" fillcolor="#c2d69b [194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">
                  <v:textbox>
                    <w:txbxContent>
                      <w:p w:rsidRPr="0041504B" w:rsidR="0066181A" w:rsidP="004002DA" w:rsidRDefault="0066181A" w14:paraId="757DF3EA" w14:textId="77777777">
                        <w:pPr>
                          <w:jc w:val="center"/>
                          <w:rPr>
                            <w:b/>
                            <w:bCs/>
                            <w:color w:val="000000" w:themeColor="text1"/>
                            <w:sz w:val="18"/>
                            <w:szCs w:val="18"/>
                            <w:lang w:val="en-US"/>
                          </w:rPr>
                        </w:pPr>
                        <w:r w:rsidRPr="0041504B">
                          <w:rPr>
                            <w:b/>
                            <w:bCs/>
                            <w:color w:val="000000" w:themeColor="text1"/>
                            <w:sz w:val="18"/>
                            <w:szCs w:val="18"/>
                            <w:lang w:val="en-US"/>
                          </w:rPr>
                          <w:t>Senior Supply</w:t>
                        </w:r>
                      </w:p>
                      <w:p w:rsidRPr="0041504B" w:rsidR="0066181A" w:rsidP="004002DA" w:rsidRDefault="0066181A" w14:paraId="59A04FFB" w14:textId="77777777">
                        <w:pPr>
                          <w:jc w:val="center"/>
                          <w:rPr>
                            <w:b/>
                            <w:bCs/>
                            <w:color w:val="000000" w:themeColor="text1"/>
                            <w:sz w:val="18"/>
                            <w:szCs w:val="18"/>
                            <w:lang w:val="en-US"/>
                          </w:rPr>
                        </w:pPr>
                        <w:r w:rsidRPr="0041504B">
                          <w:rPr>
                            <w:b/>
                            <w:bCs/>
                            <w:color w:val="000000" w:themeColor="text1"/>
                            <w:sz w:val="18"/>
                            <w:szCs w:val="18"/>
                            <w:lang w:val="en-US"/>
                          </w:rPr>
                          <w:t>German Cooperation</w:t>
                        </w:r>
                      </w:p>
                    </w:txbxContent>
                  </v:textbox>
                </v:rect>
                <v:rect id="Rectangle 10" style="position:absolute;left:15849;top:16306;width:14631;height:5411;visibility:visible;mso-wrap-style:square;v-text-anchor:middle" o:spid="_x0000_s1035" fillcolor="#e5b8b7 [1301]"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">
                  <v:textbox>
                    <w:txbxContent>
                      <w:p w:rsidRPr="0041504B" w:rsidR="0066181A" w:rsidP="004002DA" w:rsidRDefault="0066181A" w14:paraId="7031A971" w14:textId="77777777">
                        <w:pPr>
                          <w:jc w:val="center"/>
                          <w:rPr>
                            <w:color w:val="000000" w:themeColor="text1"/>
                            <w:sz w:val="18"/>
                            <w:szCs w:val="18"/>
                            <w:lang w:val="en-US"/>
                          </w:rPr>
                        </w:pPr>
                        <w:r w:rsidRPr="0041504B">
                          <w:rPr>
                            <w:color w:val="000000" w:themeColor="text1"/>
                            <w:sz w:val="18"/>
                            <w:szCs w:val="18"/>
                            <w:lang w:val="en-US"/>
                          </w:rPr>
                          <w:t xml:space="preserve">UNDP Programme Portfolio Manager </w:t>
                        </w:r>
                      </w:p>
                    </w:txbxContent>
                  </v:textbox>
                </v:rect>
                <v:rect id="Rectangle 11" style="position:absolute;left:15925;top:23164;width:14631;height:14914;visibility:visible;mso-wrap-style:square;v-text-anchor:middle" o:spid="_x0000_s1036" fillcolor="#e5b8b7 [1301]"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">
                  <v:textbox>
                    <w:txbxContent>
                      <w:p w:rsidRPr="0041504B" w:rsidR="0066181A" w:rsidP="004002DA" w:rsidRDefault="0066181A" w14:paraId="74320581" w14:textId="77777777">
                        <w:pPr>
                          <w:jc w:val="center"/>
                          <w:rPr>
                            <w:b/>
                            <w:bCs/>
                            <w:color w:val="000000" w:themeColor="text1"/>
                            <w:sz w:val="18"/>
                            <w:szCs w:val="18"/>
                            <w:lang w:val="en-US"/>
                          </w:rPr>
                        </w:pPr>
                        <w:r w:rsidRPr="0041504B">
                          <w:rPr>
                            <w:b/>
                            <w:bCs/>
                            <w:color w:val="000000" w:themeColor="text1"/>
                            <w:sz w:val="18"/>
                            <w:szCs w:val="18"/>
                            <w:lang w:val="en-US"/>
                          </w:rPr>
                          <w:t>Project Implementation Unit</w:t>
                        </w:r>
                      </w:p>
                      <w:p w:rsidRPr="0041504B" w:rsidR="0066181A" w:rsidP="004002DA" w:rsidRDefault="0066181A" w14:paraId="5CE64C25" w14:textId="77777777">
                        <w:pPr>
                          <w:jc w:val="center"/>
                          <w:rPr>
                            <w:color w:val="000000" w:themeColor="text1"/>
                            <w:sz w:val="18"/>
                            <w:szCs w:val="18"/>
                            <w:lang w:val="en-US"/>
                          </w:rPr>
                        </w:pPr>
                        <w:r w:rsidRPr="0041504B">
                          <w:rPr>
                            <w:color w:val="000000" w:themeColor="text1"/>
                            <w:sz w:val="18"/>
                            <w:szCs w:val="18"/>
                            <w:lang w:val="en-US"/>
                          </w:rPr>
                          <w:t>Project Manager</w:t>
                        </w:r>
                      </w:p>
                      <w:p w:rsidRPr="0041504B" w:rsidR="0066181A" w:rsidP="004002DA" w:rsidRDefault="0066181A" w14:paraId="251DD246" w14:textId="77777777">
                        <w:pPr>
                          <w:jc w:val="center"/>
                          <w:rPr>
                            <w:color w:val="000000" w:themeColor="text1"/>
                            <w:sz w:val="18"/>
                            <w:szCs w:val="18"/>
                            <w:lang w:val="en-US"/>
                          </w:rPr>
                        </w:pPr>
                        <w:r w:rsidRPr="0041504B">
                          <w:rPr>
                            <w:color w:val="000000" w:themeColor="text1"/>
                            <w:sz w:val="18"/>
                            <w:szCs w:val="18"/>
                            <w:lang w:val="en-US"/>
                          </w:rPr>
                          <w:t>Business Solutions and Service Center- Programme Associate</w:t>
                        </w:r>
                      </w:p>
                      <w:p w:rsidRPr="0041504B" w:rsidR="0066181A" w:rsidP="004002DA" w:rsidRDefault="0066181A" w14:paraId="2D4E90AA" w14:textId="77777777">
                        <w:pPr>
                          <w:jc w:val="center"/>
                          <w:rPr>
                            <w:color w:val="000000" w:themeColor="text1"/>
                            <w:sz w:val="18"/>
                            <w:szCs w:val="18"/>
                            <w:lang w:val="en-US"/>
                          </w:rPr>
                        </w:pPr>
                        <w:r w:rsidRPr="0041504B">
                          <w:rPr>
                            <w:color w:val="000000" w:themeColor="text1"/>
                            <w:sz w:val="18"/>
                            <w:szCs w:val="18"/>
                            <w:lang w:val="en-US"/>
                          </w:rPr>
                          <w:t xml:space="preserve">Site Engineers </w:t>
                        </w:r>
                      </w:p>
                    </w:txbxContent>
                  </v:textbox>
                </v:rect>
                <v:rect id="Rectangle 14" style="position:absolute;top:23012;width:14630;height:14967;visibility:visible;mso-wrap-style:square;v-text-anchor:middle" o:spid="_x0000_s1037" fillcolor="#e5b8b7 [1301]"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">
                  <v:textbox>
                    <w:txbxContent>
                      <w:p w:rsidRPr="0041504B" w:rsidR="0066181A" w:rsidP="004002DA" w:rsidRDefault="0066181A" w14:paraId="12EEDCC8" w14:textId="77777777">
                        <w:pPr>
                          <w:jc w:val="center"/>
                          <w:rPr>
                            <w:b/>
                            <w:bCs/>
                            <w:color w:val="000000" w:themeColor="text1"/>
                            <w:sz w:val="18"/>
                            <w:szCs w:val="18"/>
                            <w:lang w:val="en-US"/>
                          </w:rPr>
                        </w:pPr>
                        <w:r w:rsidRPr="0041504B">
                          <w:rPr>
                            <w:b/>
                            <w:bCs/>
                            <w:color w:val="000000" w:themeColor="text1"/>
                            <w:sz w:val="18"/>
                            <w:szCs w:val="18"/>
                            <w:lang w:val="en-US"/>
                          </w:rPr>
                          <w:t>Project Support</w:t>
                        </w:r>
                      </w:p>
                      <w:p w:rsidRPr="0041504B" w:rsidR="0066181A" w:rsidP="004002DA" w:rsidRDefault="0066181A" w14:paraId="1292B506" w14:textId="77777777">
                        <w:pPr>
                          <w:jc w:val="center"/>
                          <w:rPr>
                            <w:color w:val="000000" w:themeColor="text1"/>
                            <w:sz w:val="18"/>
                            <w:szCs w:val="18"/>
                            <w:lang w:val="en-US"/>
                          </w:rPr>
                        </w:pPr>
                        <w:r w:rsidRPr="0041504B">
                          <w:rPr>
                            <w:color w:val="000000" w:themeColor="text1"/>
                            <w:sz w:val="18"/>
                            <w:szCs w:val="18"/>
                            <w:lang w:val="en-US"/>
                          </w:rPr>
                          <w:t>Resilience/ Social Cohesion Specialist</w:t>
                        </w:r>
                      </w:p>
                      <w:p w:rsidRPr="0041504B" w:rsidR="0066181A" w:rsidP="004002DA" w:rsidRDefault="0066181A" w14:paraId="57C09A71" w14:textId="77777777">
                        <w:pPr>
                          <w:jc w:val="center"/>
                          <w:rPr>
                            <w:color w:val="000000" w:themeColor="text1"/>
                            <w:sz w:val="18"/>
                            <w:szCs w:val="18"/>
                            <w:lang w:val="en-US"/>
                          </w:rPr>
                        </w:pPr>
                        <w:r w:rsidRPr="0041504B">
                          <w:rPr>
                            <w:color w:val="000000" w:themeColor="text1"/>
                            <w:sz w:val="18"/>
                            <w:szCs w:val="18"/>
                            <w:lang w:val="en-US"/>
                          </w:rPr>
                          <w:t>Procurement Analyst</w:t>
                        </w:r>
                      </w:p>
                      <w:p w:rsidRPr="0041504B" w:rsidR="0066181A" w:rsidP="004002DA" w:rsidRDefault="0066181A" w14:paraId="476F322C" w14:textId="77777777">
                        <w:pPr>
                          <w:jc w:val="center"/>
                          <w:rPr>
                            <w:color w:val="000000" w:themeColor="text1"/>
                            <w:sz w:val="18"/>
                            <w:szCs w:val="18"/>
                            <w:lang w:val="en-US"/>
                          </w:rPr>
                        </w:pPr>
                        <w:r w:rsidRPr="0041504B">
                          <w:rPr>
                            <w:color w:val="000000" w:themeColor="text1"/>
                            <w:sz w:val="18"/>
                            <w:szCs w:val="18"/>
                            <w:lang w:val="en-US"/>
                          </w:rPr>
                          <w:t>Communication Specialist</w:t>
                        </w:r>
                      </w:p>
                      <w:p w:rsidRPr="0041504B" w:rsidR="0066181A" w:rsidP="004002DA" w:rsidRDefault="0066181A" w14:paraId="238276B0" w14:textId="77777777">
                        <w:pPr>
                          <w:jc w:val="center"/>
                          <w:rPr>
                            <w:color w:val="000000" w:themeColor="text1"/>
                            <w:sz w:val="18"/>
                            <w:szCs w:val="18"/>
                            <w:lang w:val="en-US"/>
                          </w:rPr>
                        </w:pPr>
                        <w:r w:rsidRPr="0041504B">
                          <w:rPr>
                            <w:color w:val="000000" w:themeColor="text1"/>
                            <w:sz w:val="18"/>
                            <w:szCs w:val="18"/>
                            <w:lang w:val="en-US"/>
                          </w:rPr>
                          <w:t xml:space="preserve">Reporting &amp; Monitoring Officer </w:t>
                        </w:r>
                      </w:p>
                    </w:txbxContent>
                  </v:textbox>
                </v:rect>
              </v:group>
            </w:pict>
          </mc:Fallback>
        </mc:AlternateContent>
      </w:r>
    </w:p>
    <w:p w14:paraId="521F5DE8" w14:textId="77777777" w:rsidR="004002DA" w:rsidRPr="0041504B" w:rsidRDefault="004002DA" w:rsidP="004002DA">
      <w:pPr>
        <w:spacing w:before="120" w:after="120"/>
        <w:rPr>
          <w:rFonts w:asciiTheme="minorBidi" w:eastAsia="Arial" w:hAnsiTheme="minorBidi" w:cstheme="minorBidi"/>
          <w:b/>
          <w:sz w:val="20"/>
        </w:rPr>
      </w:pPr>
    </w:p>
    <w:p w14:paraId="18625FA2" w14:textId="77777777" w:rsidR="004002DA" w:rsidRPr="0041504B" w:rsidRDefault="004002DA" w:rsidP="004002DA">
      <w:pPr>
        <w:spacing w:before="120" w:after="120"/>
        <w:rPr>
          <w:rFonts w:asciiTheme="minorBidi" w:eastAsia="Arial" w:hAnsiTheme="minorBidi" w:cstheme="minorBidi"/>
          <w:b/>
          <w:sz w:val="20"/>
        </w:rPr>
      </w:pPr>
    </w:p>
    <w:p w14:paraId="10FB85DF" w14:textId="77777777" w:rsidR="004002DA" w:rsidRPr="0041504B" w:rsidRDefault="004002DA" w:rsidP="004002DA">
      <w:pPr>
        <w:spacing w:before="120" w:after="120"/>
        <w:rPr>
          <w:rFonts w:asciiTheme="minorBidi" w:eastAsia="Arial" w:hAnsiTheme="minorBidi" w:cstheme="minorBidi"/>
          <w:b/>
          <w:sz w:val="20"/>
        </w:rPr>
      </w:pPr>
    </w:p>
    <w:p w14:paraId="1C4B8272" w14:textId="77777777" w:rsidR="004002DA" w:rsidRPr="0041504B" w:rsidRDefault="004002DA" w:rsidP="004002DA">
      <w:pPr>
        <w:spacing w:before="120" w:after="120"/>
        <w:rPr>
          <w:rFonts w:asciiTheme="minorBidi" w:eastAsia="Arial" w:hAnsiTheme="minorBidi" w:cstheme="minorBidi"/>
          <w:b/>
          <w:sz w:val="20"/>
        </w:rPr>
      </w:pPr>
    </w:p>
    <w:p w14:paraId="17D81F5E" w14:textId="77777777" w:rsidR="004002DA" w:rsidRPr="0041504B" w:rsidRDefault="004002DA" w:rsidP="004002DA">
      <w:pPr>
        <w:spacing w:before="120" w:after="120"/>
        <w:rPr>
          <w:rFonts w:asciiTheme="minorBidi" w:eastAsia="Arial" w:hAnsiTheme="minorBidi" w:cstheme="minorBidi"/>
          <w:b/>
          <w:sz w:val="20"/>
        </w:rPr>
      </w:pPr>
    </w:p>
    <w:p w14:paraId="5938055B" w14:textId="77777777" w:rsidR="004002DA" w:rsidRPr="0041504B" w:rsidRDefault="004002DA" w:rsidP="004002DA">
      <w:pPr>
        <w:spacing w:before="120" w:after="120"/>
        <w:rPr>
          <w:rFonts w:asciiTheme="minorBidi" w:eastAsia="Arial" w:hAnsiTheme="minorBidi" w:cstheme="minorBidi"/>
          <w:b/>
          <w:sz w:val="20"/>
        </w:rPr>
      </w:pPr>
    </w:p>
    <w:p w14:paraId="55325457" w14:textId="77777777" w:rsidR="004002DA" w:rsidRPr="0041504B" w:rsidRDefault="004002DA" w:rsidP="004002DA">
      <w:pPr>
        <w:spacing w:before="120" w:after="120"/>
        <w:rPr>
          <w:rFonts w:asciiTheme="minorBidi" w:eastAsia="Arial" w:hAnsiTheme="minorBidi" w:cstheme="minorBidi"/>
          <w:b/>
          <w:sz w:val="20"/>
        </w:rPr>
      </w:pPr>
    </w:p>
    <w:p w14:paraId="06DA771C" w14:textId="77777777" w:rsidR="004002DA" w:rsidRPr="0041504B" w:rsidRDefault="004002DA" w:rsidP="004002DA">
      <w:pPr>
        <w:spacing w:before="120" w:after="120"/>
        <w:rPr>
          <w:rFonts w:asciiTheme="minorBidi" w:eastAsia="Arial" w:hAnsiTheme="minorBidi" w:cstheme="minorBidi"/>
          <w:b/>
          <w:sz w:val="20"/>
        </w:rPr>
      </w:pPr>
    </w:p>
    <w:p w14:paraId="06181710" w14:textId="77777777" w:rsidR="004002DA" w:rsidRPr="0041504B" w:rsidRDefault="004002DA" w:rsidP="004002DA">
      <w:pPr>
        <w:spacing w:before="120" w:after="120"/>
        <w:rPr>
          <w:rFonts w:asciiTheme="minorBidi" w:eastAsia="Arial" w:hAnsiTheme="minorBidi" w:cstheme="minorBidi"/>
          <w:b/>
          <w:sz w:val="20"/>
        </w:rPr>
      </w:pPr>
    </w:p>
    <w:p w14:paraId="65396287" w14:textId="77777777" w:rsidR="004002DA" w:rsidRPr="0041504B" w:rsidRDefault="004002DA" w:rsidP="004002DA">
      <w:pPr>
        <w:spacing w:before="120" w:after="120"/>
        <w:rPr>
          <w:rFonts w:asciiTheme="minorBidi" w:eastAsia="Arial" w:hAnsiTheme="minorBidi" w:cstheme="minorBidi"/>
          <w:b/>
          <w:sz w:val="20"/>
        </w:rPr>
      </w:pPr>
    </w:p>
    <w:p w14:paraId="6585CB34" w14:textId="77777777" w:rsidR="004002DA" w:rsidRPr="0041504B" w:rsidRDefault="004002DA" w:rsidP="004002DA">
      <w:pPr>
        <w:spacing w:before="120" w:after="120"/>
        <w:rPr>
          <w:rFonts w:asciiTheme="minorBidi" w:eastAsia="Arial" w:hAnsiTheme="minorBidi" w:cstheme="minorBidi"/>
          <w:b/>
          <w:sz w:val="20"/>
        </w:rPr>
      </w:pPr>
    </w:p>
    <w:p w14:paraId="58D174E3" w14:textId="77777777" w:rsidR="004002DA" w:rsidRPr="0041504B" w:rsidRDefault="004002DA" w:rsidP="004002DA">
      <w:pPr>
        <w:spacing w:before="120" w:after="120"/>
        <w:rPr>
          <w:rFonts w:asciiTheme="minorBidi" w:eastAsia="Arial" w:hAnsiTheme="minorBidi" w:cstheme="minorBidi"/>
          <w:b/>
          <w:sz w:val="20"/>
        </w:rPr>
      </w:pPr>
    </w:p>
    <w:p w14:paraId="767E10FD" w14:textId="77777777" w:rsidR="004002DA" w:rsidRPr="0041504B" w:rsidRDefault="004002DA" w:rsidP="004002DA">
      <w:pPr>
        <w:spacing w:before="120" w:after="120"/>
        <w:rPr>
          <w:rFonts w:asciiTheme="minorBidi" w:eastAsia="Arial" w:hAnsiTheme="minorBidi" w:cstheme="minorBidi"/>
          <w:b/>
          <w:sz w:val="20"/>
        </w:rPr>
      </w:pPr>
    </w:p>
    <w:p w14:paraId="5D5EA2A9" w14:textId="77777777" w:rsidR="004002DA" w:rsidRPr="0041504B" w:rsidRDefault="004002DA" w:rsidP="004002DA">
      <w:pPr>
        <w:spacing w:before="120" w:after="120"/>
        <w:rPr>
          <w:rFonts w:asciiTheme="minorBidi" w:eastAsia="Arial" w:hAnsiTheme="minorBidi" w:cstheme="minorBidi"/>
          <w:b/>
          <w:sz w:val="20"/>
        </w:rPr>
      </w:pPr>
    </w:p>
    <w:p w14:paraId="129304D7" w14:textId="77777777" w:rsidR="004002DA" w:rsidRDefault="004002DA" w:rsidP="004002DA">
      <w:pPr>
        <w:spacing w:before="120" w:after="120"/>
        <w:rPr>
          <w:rFonts w:asciiTheme="minorBidi" w:eastAsia="Arial" w:hAnsiTheme="minorBidi" w:cstheme="minorBidi"/>
          <w:b/>
          <w:sz w:val="20"/>
        </w:rPr>
      </w:pPr>
    </w:p>
    <w:p w14:paraId="2D2D5E9C" w14:textId="77777777" w:rsidR="004002DA" w:rsidRPr="00F12C3C" w:rsidRDefault="004002DA" w:rsidP="004002DA">
      <w:pPr>
        <w:spacing w:before="120" w:after="120"/>
        <w:rPr>
          <w:rFonts w:cs="Arial"/>
          <w:sz w:val="20"/>
          <w:lang w:val="en-US"/>
        </w:rPr>
      </w:pPr>
      <w:r w:rsidRPr="00F12C3C">
        <w:rPr>
          <w:rFonts w:eastAsia="Arial" w:cs="Arial"/>
          <w:b/>
          <w:sz w:val="20"/>
          <w:lang w:val="en-US"/>
        </w:rPr>
        <w:t>Project Board:</w:t>
      </w:r>
    </w:p>
    <w:p w14:paraId="40934A7B" w14:textId="77777777" w:rsidR="004002DA" w:rsidRPr="00F12C3C" w:rsidRDefault="004002DA" w:rsidP="004002DA">
      <w:pPr>
        <w:rPr>
          <w:rFonts w:cs="Arial"/>
          <w:sz w:val="20"/>
          <w:lang w:val="en-US"/>
        </w:rPr>
      </w:pPr>
      <w:r w:rsidRPr="00F12C3C">
        <w:rPr>
          <w:rFonts w:eastAsia="Arial" w:cs="Arial"/>
          <w:sz w:val="20"/>
          <w:lang w:val="en-US"/>
        </w:rPr>
        <w:t xml:space="preserve">79. The Project Board provides overall strategic leadership, general policy and strategy guidance and oversight on the IPR programme process and priorities. The Project Board comprises of representative of </w:t>
      </w:r>
      <w:proofErr w:type="spellStart"/>
      <w:r w:rsidRPr="00F12C3C">
        <w:rPr>
          <w:rFonts w:eastAsia="Arial" w:cs="Arial"/>
          <w:sz w:val="20"/>
          <w:lang w:val="en-US"/>
        </w:rPr>
        <w:t>KfW</w:t>
      </w:r>
      <w:proofErr w:type="spellEnd"/>
      <w:r w:rsidRPr="00F12C3C">
        <w:rPr>
          <w:rFonts w:eastAsia="Arial" w:cs="Arial"/>
          <w:sz w:val="20"/>
          <w:lang w:val="en-US"/>
        </w:rPr>
        <w:t xml:space="preserve"> and UNDP. The Project Board will meet annually to discuss the progress, endorse priorities and set funding requirements. The IPR PIU is accountable to the Project Board and shall provide the required financial and progress reports. </w:t>
      </w:r>
    </w:p>
    <w:p w14:paraId="6D9D3948" w14:textId="77777777" w:rsidR="004002DA" w:rsidRPr="00F12C3C" w:rsidRDefault="004002DA" w:rsidP="00475E00">
      <w:pPr>
        <w:spacing w:before="120" w:after="120" w:line="360" w:lineRule="auto"/>
        <w:rPr>
          <w:rFonts w:eastAsia="Arial" w:cs="Arial"/>
          <w:sz w:val="20"/>
          <w:lang w:val="en-US"/>
        </w:rPr>
      </w:pPr>
      <w:r w:rsidRPr="00F12C3C">
        <w:rPr>
          <w:rFonts w:eastAsia="Arial" w:cs="Arial"/>
          <w:sz w:val="20"/>
          <w:lang w:val="en-US"/>
        </w:rPr>
        <w:t xml:space="preserve">80.  UNDP PIU acts as the programme oversight of the IPR, ensuring the work is progressing according to the plan, reporting on progress, financial status, and funding requirements to the Project Board. In addition, manages the realization of project outputs through activities, provides overall quality assurance to the IPR. The PIU is composed of a Project Manager who manages the realization of project outputs through activities; provides direction and guidance to the project team; is accountable for reporting to the Project Board (progress, financial status, and funding requirements); identifies and obtains any support and advice required for the management, planning and control of the project from the Project Board; and responsible for project implementation for activities. Programme Associate will be supporting the PM in carrying out daily management of the project and facilitating the implementation of its activities (Programmatic, financial and administrative assistance). Site Engineers will be assigned for community </w:t>
      </w:r>
      <w:r w:rsidRPr="00F12C3C">
        <w:rPr>
          <w:rFonts w:eastAsia="Arial" w:cs="Arial"/>
          <w:sz w:val="20"/>
          <w:lang w:val="en-US"/>
        </w:rPr>
        <w:lastRenderedPageBreak/>
        <w:t xml:space="preserve">initiatives through new hires. The PIU will be supported by UNDP HR structure in provision of additional capacities at partial arrangements including procurement, communication, reporting and M&amp;E.  </w:t>
      </w:r>
    </w:p>
    <w:p w14:paraId="43AB6EE0" w14:textId="77777777" w:rsidR="004002DA" w:rsidRPr="00F12C3C" w:rsidRDefault="004002DA" w:rsidP="004002DA">
      <w:pPr>
        <w:spacing w:before="120" w:after="120"/>
        <w:rPr>
          <w:rFonts w:cs="Arial"/>
          <w:sz w:val="20"/>
          <w:lang w:val="en-US"/>
        </w:rPr>
      </w:pPr>
      <w:r w:rsidRPr="00F12C3C">
        <w:rPr>
          <w:rFonts w:eastAsia="Arial" w:cs="Arial"/>
          <w:sz w:val="20"/>
          <w:lang w:val="en-US"/>
        </w:rPr>
        <w:t xml:space="preserve">81.  The PIU will be supervised by the Programme Portfolio Manager who will be responsible for guiding the PIU in achieving the IPR results, provide programmatic quality assurance, and ensure linkages with other programmes and initiatives to reinforce synergies and strengthen cost efficiencies.  </w:t>
      </w:r>
    </w:p>
    <w:p w14:paraId="22C95A9F" w14:textId="77777777" w:rsidR="004002DA" w:rsidRPr="00F12C3C" w:rsidRDefault="004002DA" w:rsidP="004002DA">
      <w:pPr>
        <w:spacing w:before="120" w:after="120"/>
        <w:rPr>
          <w:rFonts w:cs="Arial"/>
          <w:sz w:val="20"/>
          <w:lang w:val="en-US"/>
        </w:rPr>
      </w:pPr>
      <w:r w:rsidRPr="00F12C3C">
        <w:rPr>
          <w:rFonts w:eastAsia="Arial" w:cs="Arial"/>
          <w:sz w:val="20"/>
          <w:lang w:val="en-US"/>
        </w:rPr>
        <w:t>Outcome 1 will be implemented directly by UNDP through carrying intended procurement processes for the provision of supply and delivery of medical equipment and health related systems</w:t>
      </w:r>
      <w:r w:rsidRPr="00F12C3C">
        <w:rPr>
          <w:rFonts w:eastAsia="Arial" w:cs="Arial"/>
          <w:noProof/>
          <w:sz w:val="20"/>
          <w:lang w:val="en-US"/>
        </w:rPr>
        <w:t xml:space="preserve"> integrated with the procurement tracking system led by WHO and MoH</w:t>
      </w:r>
      <w:r w:rsidRPr="00F12C3C">
        <w:rPr>
          <w:rFonts w:eastAsia="Arial" w:cs="Arial"/>
          <w:sz w:val="20"/>
          <w:lang w:val="en-US"/>
        </w:rPr>
        <w:t>, while implementation arrangements for job placement and trainings for health workers will be initiated building on the existing modalities of similar scope, and in particular in Gaza through creating implementation partnerships with strong IP’s.</w:t>
      </w:r>
    </w:p>
    <w:p w14:paraId="21A65809" w14:textId="77777777" w:rsidR="004002DA" w:rsidRPr="00F12C3C" w:rsidRDefault="004002DA" w:rsidP="004002DA">
      <w:pPr>
        <w:spacing w:before="120" w:after="120"/>
        <w:rPr>
          <w:rFonts w:cs="Arial"/>
          <w:sz w:val="20"/>
          <w:lang w:val="en-US"/>
        </w:rPr>
      </w:pPr>
      <w:r w:rsidRPr="00F12C3C">
        <w:rPr>
          <w:rFonts w:eastAsia="Arial" w:cs="Arial"/>
          <w:sz w:val="20"/>
          <w:lang w:val="en-US"/>
        </w:rPr>
        <w:t>As for Outcome 2, it will be implemented through collaboration with national CSO’s, NGO’s, CBO’s, based on the Call for Proposal and its selection process for relevant projects, which are planned to contribute in materializing the objectives of IPR.</w:t>
      </w:r>
      <w:r w:rsidRPr="00F12C3C">
        <w:rPr>
          <w:rFonts w:cs="Arial"/>
          <w:sz w:val="20"/>
          <w:lang w:val="en-US"/>
        </w:rPr>
        <w:t xml:space="preserve"> </w:t>
      </w:r>
    </w:p>
    <w:p w14:paraId="058C15AF" w14:textId="77777777" w:rsidR="004002DA" w:rsidRPr="00F12C3C" w:rsidRDefault="004002DA" w:rsidP="002A6590">
      <w:pPr>
        <w:pStyle w:val="Heading1"/>
        <w:keepNext/>
        <w:numPr>
          <w:ilvl w:val="0"/>
          <w:numId w:val="27"/>
        </w:numPr>
        <w:pBdr>
          <w:top w:val="single" w:sz="4" w:space="1" w:color="auto"/>
        </w:pBdr>
        <w:suppressAutoHyphens/>
        <w:spacing w:before="104" w:after="226" w:line="240" w:lineRule="auto"/>
        <w:jc w:val="both"/>
        <w:rPr>
          <w:rFonts w:cs="Arial"/>
          <w:sz w:val="20"/>
          <w:lang w:val="en-US"/>
        </w:rPr>
      </w:pPr>
      <w:bookmarkStart w:id="34" w:name="_Toc48809753"/>
      <w:r w:rsidRPr="00F12C3C">
        <w:rPr>
          <w:rFonts w:cs="Arial"/>
          <w:sz w:val="20"/>
          <w:lang w:val="en-US"/>
        </w:rPr>
        <w:t>Additional Needs for COVID-19 Emergency Response (Chapter added 19 August 2020)</w:t>
      </w:r>
      <w:bookmarkEnd w:id="34"/>
    </w:p>
    <w:p w14:paraId="6A2887D4" w14:textId="77777777" w:rsidR="004002DA" w:rsidRPr="00F12C3C" w:rsidRDefault="004002DA" w:rsidP="004002DA">
      <w:pPr>
        <w:rPr>
          <w:rFonts w:cs="Arial"/>
          <w:sz w:val="20"/>
          <w:lang w:val="en-US"/>
        </w:rPr>
      </w:pPr>
      <w:r w:rsidRPr="00F12C3C">
        <w:rPr>
          <w:rFonts w:cs="Arial"/>
          <w:sz w:val="20"/>
          <w:lang w:val="en-US"/>
        </w:rPr>
        <w:t>The spread of COVID-19 was limited in the Palestinian territory over a period of several months due to strict measures including a lockdown. However, since mid-June 2020, the numbers of reported COVID-19 cases have increased rapidly and significantly (from 652 individuals in early June to 22,391 individuals as of 17 August 2020</w:t>
      </w:r>
      <w:r w:rsidRPr="00F12C3C">
        <w:rPr>
          <w:rStyle w:val="FootnoteReference"/>
          <w:rFonts w:cs="Arial"/>
          <w:sz w:val="20"/>
        </w:rPr>
        <w:footnoteReference w:id="1"/>
      </w:r>
      <w:r w:rsidRPr="00F12C3C">
        <w:rPr>
          <w:rFonts w:cs="Arial"/>
          <w:sz w:val="20"/>
          <w:lang w:val="en-US"/>
        </w:rPr>
        <w:t xml:space="preserve">). </w:t>
      </w:r>
    </w:p>
    <w:p w14:paraId="2FEFC521" w14:textId="77777777" w:rsidR="004002DA" w:rsidRPr="00F12C3C" w:rsidRDefault="004002DA" w:rsidP="004002DA">
      <w:pPr>
        <w:rPr>
          <w:rFonts w:cs="Arial"/>
          <w:sz w:val="20"/>
          <w:lang w:val="en-US"/>
        </w:rPr>
      </w:pPr>
    </w:p>
    <w:p w14:paraId="1C6A5929" w14:textId="77777777" w:rsidR="004002DA" w:rsidRPr="00F12C3C" w:rsidRDefault="004002DA" w:rsidP="004002DA">
      <w:pPr>
        <w:spacing w:line="280" w:lineRule="atLeast"/>
        <w:ind w:left="227"/>
        <w:rPr>
          <w:rFonts w:eastAsia="Cambria" w:cs="Arial"/>
          <w:sz w:val="20"/>
        </w:rPr>
      </w:pPr>
      <w:r>
        <w:rPr>
          <w:noProof/>
        </w:rPr>
        <w:drawing>
          <wp:inline distT="0" distB="0" distL="0" distR="0" wp14:anchorId="2FDCADDA" wp14:editId="78C75CA9">
            <wp:extent cx="3340100" cy="186777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pic:nvPicPr>
                  <pic:blipFill>
                    <a:blip r:embed="rId17">
                      <a:extLst>
                        <a:ext uri="{28A0092B-C50C-407E-A947-70E740481C1C}">
                          <a14:useLocalDpi xmlns:a14="http://schemas.microsoft.com/office/drawing/2010/main" val="0"/>
                        </a:ext>
                      </a:extLst>
                    </a:blip>
                    <a:stretch>
                      <a:fillRect/>
                    </a:stretch>
                  </pic:blipFill>
                  <pic:spPr>
                    <a:xfrm>
                      <a:off x="0" y="0"/>
                      <a:ext cx="3340100" cy="1867771"/>
                    </a:xfrm>
                    <a:prstGeom prst="rect">
                      <a:avLst/>
                    </a:prstGeom>
                  </pic:spPr>
                </pic:pic>
              </a:graphicData>
            </a:graphic>
          </wp:inline>
        </w:drawing>
      </w:r>
    </w:p>
    <w:p w14:paraId="36EB2906" w14:textId="77777777" w:rsidR="004002DA" w:rsidRPr="0005323D" w:rsidRDefault="004002DA" w:rsidP="004002DA">
      <w:pPr>
        <w:spacing w:line="280" w:lineRule="atLeast"/>
        <w:ind w:left="227"/>
        <w:rPr>
          <w:rFonts w:eastAsia="Cambria" w:cs="Arial"/>
          <w:i/>
          <w:sz w:val="20"/>
          <w:lang w:val="en-US"/>
        </w:rPr>
      </w:pPr>
      <w:r w:rsidRPr="0005323D">
        <w:rPr>
          <w:rFonts w:eastAsia="Cambria" w:cs="Arial"/>
          <w:i/>
          <w:sz w:val="20"/>
          <w:lang w:val="en-US"/>
        </w:rPr>
        <w:t xml:space="preserve">Source: WHO, 19 Aug 2020 </w:t>
      </w:r>
    </w:p>
    <w:p w14:paraId="7691AEAE" w14:textId="77777777" w:rsidR="004002DA" w:rsidRPr="0005323D" w:rsidRDefault="004002DA" w:rsidP="004002DA">
      <w:pPr>
        <w:rPr>
          <w:rFonts w:cs="Arial"/>
          <w:sz w:val="20"/>
          <w:lang w:val="en-US"/>
        </w:rPr>
      </w:pPr>
    </w:p>
    <w:p w14:paraId="4DE751CE" w14:textId="77777777" w:rsidR="004002DA" w:rsidRPr="00F12C3C" w:rsidRDefault="004002DA" w:rsidP="004002DA">
      <w:pPr>
        <w:rPr>
          <w:rFonts w:cs="Arial"/>
          <w:sz w:val="20"/>
          <w:lang w:val="en-US"/>
        </w:rPr>
      </w:pPr>
      <w:r w:rsidRPr="00F12C3C">
        <w:rPr>
          <w:rFonts w:cs="Arial"/>
          <w:sz w:val="20"/>
          <w:lang w:val="en-US"/>
        </w:rPr>
        <w:t xml:space="preserve">Following an intensive technical consultation with the Ministry of Health (MoH) representative, the representatives of the respective departments within the MoH, and WHO representative, the following was highlighted: </w:t>
      </w:r>
    </w:p>
    <w:p w14:paraId="3E3A2AC5" w14:textId="77777777" w:rsidR="004002DA" w:rsidRPr="00F12C3C" w:rsidRDefault="004002DA" w:rsidP="002A6590">
      <w:pPr>
        <w:pStyle w:val="ListParagraph"/>
        <w:numPr>
          <w:ilvl w:val="0"/>
          <w:numId w:val="28"/>
        </w:numPr>
        <w:spacing w:after="160" w:line="259" w:lineRule="auto"/>
        <w:ind w:left="426" w:hanging="284"/>
        <w:jc w:val="both"/>
        <w:rPr>
          <w:rFonts w:cs="Arial"/>
          <w:sz w:val="20"/>
          <w:lang w:val="en-US"/>
        </w:rPr>
      </w:pPr>
      <w:r w:rsidRPr="00F12C3C">
        <w:rPr>
          <w:rFonts w:cs="Arial"/>
          <w:sz w:val="20"/>
          <w:lang w:val="en-US"/>
        </w:rPr>
        <w:t xml:space="preserve">It was agreed there was additional need for COVID-19 emergency response corresponding to measures planned under Outcome 1 of the IPR, namely in the area of health personnel and equipment. </w:t>
      </w:r>
      <w:proofErr w:type="gramStart"/>
      <w:r w:rsidRPr="00F12C3C">
        <w:rPr>
          <w:rFonts w:cs="Arial"/>
          <w:sz w:val="20"/>
          <w:lang w:val="en-US"/>
        </w:rPr>
        <w:t>Therefore</w:t>
      </w:r>
      <w:proofErr w:type="gramEnd"/>
      <w:r w:rsidRPr="00F12C3C">
        <w:rPr>
          <w:rFonts w:cs="Arial"/>
          <w:sz w:val="20"/>
          <w:lang w:val="en-US"/>
        </w:rPr>
        <w:t xml:space="preserve"> it is proposed to amend the IPR proposal as outlined below:</w:t>
      </w:r>
    </w:p>
    <w:p w14:paraId="5887A6B9" w14:textId="77777777" w:rsidR="004002DA" w:rsidRPr="00F12C3C" w:rsidRDefault="004002DA" w:rsidP="002A6590">
      <w:pPr>
        <w:pStyle w:val="ListParagraph"/>
        <w:numPr>
          <w:ilvl w:val="0"/>
          <w:numId w:val="28"/>
        </w:numPr>
        <w:spacing w:after="160" w:line="259" w:lineRule="auto"/>
        <w:ind w:left="426" w:hanging="284"/>
        <w:jc w:val="both"/>
        <w:rPr>
          <w:rFonts w:cs="Arial"/>
          <w:sz w:val="20"/>
          <w:lang w:val="en-US"/>
        </w:rPr>
      </w:pPr>
      <w:r w:rsidRPr="00F12C3C">
        <w:rPr>
          <w:rFonts w:cs="Arial"/>
          <w:sz w:val="20"/>
          <w:lang w:val="en-US"/>
        </w:rPr>
        <w:t xml:space="preserve">Procurement of equipment should be expanded for certain critical items; one additional item is included which was not </w:t>
      </w:r>
      <w:proofErr w:type="spellStart"/>
      <w:r w:rsidRPr="00F12C3C">
        <w:rPr>
          <w:rFonts w:cs="Arial"/>
          <w:sz w:val="20"/>
          <w:lang w:val="en-US"/>
        </w:rPr>
        <w:t>prioritised</w:t>
      </w:r>
      <w:proofErr w:type="spellEnd"/>
      <w:r w:rsidRPr="00F12C3C">
        <w:rPr>
          <w:rFonts w:cs="Arial"/>
          <w:sz w:val="20"/>
          <w:lang w:val="en-US"/>
        </w:rPr>
        <w:t xml:space="preserve"> in the 10 million EUR proposal (output 1.1); </w:t>
      </w:r>
    </w:p>
    <w:p w14:paraId="6713FB45" w14:textId="77777777" w:rsidR="004002DA" w:rsidRPr="00F12C3C" w:rsidRDefault="004002DA" w:rsidP="002A6590">
      <w:pPr>
        <w:pStyle w:val="ListParagraph"/>
        <w:numPr>
          <w:ilvl w:val="0"/>
          <w:numId w:val="28"/>
        </w:numPr>
        <w:spacing w:after="160" w:line="259" w:lineRule="auto"/>
        <w:ind w:left="426" w:hanging="284"/>
        <w:jc w:val="both"/>
        <w:rPr>
          <w:rFonts w:cs="Arial"/>
          <w:sz w:val="20"/>
          <w:lang w:val="en-US"/>
        </w:rPr>
      </w:pPr>
      <w:r w:rsidRPr="00F12C3C">
        <w:rPr>
          <w:rFonts w:cs="Arial"/>
          <w:sz w:val="20"/>
          <w:lang w:val="en-US"/>
        </w:rPr>
        <w:lastRenderedPageBreak/>
        <w:t xml:space="preserve">In light of the increased number of COVID-19 cases, the high number of health staff in quarantine and the actions required from the MoH for the activation of the Al </w:t>
      </w:r>
      <w:proofErr w:type="spellStart"/>
      <w:r w:rsidRPr="00F12C3C">
        <w:rPr>
          <w:rFonts w:cs="Arial"/>
          <w:sz w:val="20"/>
          <w:lang w:val="en-US"/>
        </w:rPr>
        <w:t>Karamah</w:t>
      </w:r>
      <w:proofErr w:type="spellEnd"/>
      <w:r w:rsidRPr="00F12C3C">
        <w:rPr>
          <w:rFonts w:cs="Arial"/>
          <w:sz w:val="20"/>
          <w:lang w:val="en-US"/>
        </w:rPr>
        <w:t xml:space="preserve"> bridge (at least 50 heath staff should be deployed) and the reopening of the schools, the need to increase investment in the deployment of health personnel and workers, with specific focus on the West Bank, was highlighted (Output 1.2); and</w:t>
      </w:r>
    </w:p>
    <w:p w14:paraId="049B6DC5" w14:textId="77777777" w:rsidR="004002DA" w:rsidRPr="00F12C3C" w:rsidRDefault="004002DA" w:rsidP="002A6590">
      <w:pPr>
        <w:pStyle w:val="ListParagraph"/>
        <w:numPr>
          <w:ilvl w:val="0"/>
          <w:numId w:val="28"/>
        </w:numPr>
        <w:spacing w:after="160" w:line="259" w:lineRule="auto"/>
        <w:ind w:left="426" w:hanging="284"/>
        <w:jc w:val="both"/>
        <w:rPr>
          <w:rFonts w:cs="Arial"/>
          <w:sz w:val="20"/>
          <w:lang w:val="en-US"/>
        </w:rPr>
      </w:pPr>
      <w:r w:rsidRPr="00F12C3C">
        <w:rPr>
          <w:rFonts w:cs="Arial"/>
          <w:sz w:val="20"/>
          <w:lang w:val="en-US"/>
        </w:rPr>
        <w:t>No additional resources are needed at this point in support of the medical waste treatment (Output 1.3).</w:t>
      </w:r>
    </w:p>
    <w:p w14:paraId="59CEE107" w14:textId="77777777" w:rsidR="004002DA" w:rsidRPr="00F12C3C" w:rsidRDefault="004002DA" w:rsidP="004002DA">
      <w:pPr>
        <w:rPr>
          <w:rFonts w:cs="Arial"/>
          <w:sz w:val="20"/>
          <w:lang w:val="en-US"/>
        </w:rPr>
      </w:pPr>
      <w:r w:rsidRPr="00F12C3C">
        <w:rPr>
          <w:rFonts w:cs="Arial"/>
          <w:sz w:val="20"/>
          <w:lang w:val="en-US"/>
        </w:rPr>
        <w:t xml:space="preserve">The needs outlined above are based on the MoH and WHO analysis of gaps in the COVID-19 health response and are aligned with the National Response Plan.  </w:t>
      </w:r>
    </w:p>
    <w:p w14:paraId="709BA7CD" w14:textId="77777777" w:rsidR="004002DA" w:rsidRPr="00F12C3C" w:rsidRDefault="004002DA" w:rsidP="004002DA">
      <w:pPr>
        <w:rPr>
          <w:rFonts w:cs="Arial"/>
          <w:sz w:val="20"/>
          <w:lang w:val="en-US"/>
        </w:rPr>
      </w:pPr>
      <w:r w:rsidRPr="00F12C3C">
        <w:rPr>
          <w:rFonts w:cs="Arial"/>
          <w:sz w:val="20"/>
          <w:lang w:val="en-US"/>
        </w:rPr>
        <w:t xml:space="preserve">The needs -whether they be equipment/material or human resources, originate from the MoH based on their assessment of gaps, which are verified by WHO and shared with the sector clusters.  The </w:t>
      </w:r>
      <w:proofErr w:type="spellStart"/>
      <w:r w:rsidRPr="00F12C3C">
        <w:rPr>
          <w:rFonts w:cs="Arial"/>
          <w:sz w:val="20"/>
          <w:lang w:val="en-US"/>
        </w:rPr>
        <w:t>GoP</w:t>
      </w:r>
      <w:proofErr w:type="spellEnd"/>
      <w:r w:rsidRPr="00F12C3C">
        <w:rPr>
          <w:rFonts w:cs="Arial"/>
          <w:sz w:val="20"/>
          <w:lang w:val="en-US"/>
        </w:rPr>
        <w:t xml:space="preserve"> COVID-19 Public Health Response document includes a list of all medical supplies and equipment needed. This document is updated every three months by the MoH in close coordination with the </w:t>
      </w:r>
      <w:proofErr w:type="gramStart"/>
      <w:r w:rsidRPr="00F12C3C">
        <w:rPr>
          <w:rFonts w:cs="Arial"/>
          <w:sz w:val="20"/>
          <w:lang w:val="en-US"/>
        </w:rPr>
        <w:t>PMO, and</w:t>
      </w:r>
      <w:proofErr w:type="gramEnd"/>
      <w:r w:rsidRPr="00F12C3C">
        <w:rPr>
          <w:rFonts w:cs="Arial"/>
          <w:sz w:val="20"/>
          <w:lang w:val="en-US"/>
        </w:rPr>
        <w:t xml:space="preserve"> is circulated among stakeholders including the donor community.  Due to the rapid spread of the virus in Palestine, MoH is currently updating the response plan and is expected to circulate the new document at the end of August 2020.  (UNDP will validate the needed equipment and materials, as well as human resources, </w:t>
      </w:r>
      <w:proofErr w:type="gramStart"/>
      <w:r w:rsidRPr="00F12C3C">
        <w:rPr>
          <w:rFonts w:cs="Arial"/>
          <w:sz w:val="20"/>
          <w:lang w:val="en-US"/>
        </w:rPr>
        <w:t>with regard to</w:t>
      </w:r>
      <w:proofErr w:type="gramEnd"/>
      <w:r w:rsidRPr="00F12C3C">
        <w:rPr>
          <w:rFonts w:cs="Arial"/>
          <w:sz w:val="20"/>
          <w:lang w:val="en-US"/>
        </w:rPr>
        <w:t xml:space="preserve"> costs and quantities.)</w:t>
      </w:r>
    </w:p>
    <w:p w14:paraId="1E8150A5" w14:textId="77777777" w:rsidR="004002DA" w:rsidRPr="00F12C3C" w:rsidRDefault="004002DA" w:rsidP="004002DA">
      <w:pPr>
        <w:rPr>
          <w:rFonts w:cs="Arial"/>
          <w:sz w:val="20"/>
          <w:lang w:val="en-US"/>
        </w:rPr>
      </w:pPr>
      <w:r w:rsidRPr="00F12C3C">
        <w:rPr>
          <w:rFonts w:cs="Arial"/>
          <w:sz w:val="20"/>
          <w:lang w:val="en-US"/>
        </w:rPr>
        <w:t xml:space="preserve">Coordination, monitoring and tracking of support to the health sector takes place at two levels: 1) through the Humanitarian Cluster System - Health and WASH Sector Clusters with the participation of UN agencies, NGOs and MoH; and 2) within the MoH through its internal system. Tracking and monitoring systems using online databases, excel sheets or other formats are in place to ensure close coordination and regular communication at all levels to avoid duplication and ensure complementarity. </w:t>
      </w:r>
    </w:p>
    <w:p w14:paraId="61FF9671" w14:textId="77777777" w:rsidR="004002DA" w:rsidRPr="00F12C3C" w:rsidRDefault="004002DA" w:rsidP="004002DA">
      <w:pPr>
        <w:rPr>
          <w:rFonts w:cs="Arial"/>
          <w:sz w:val="20"/>
          <w:lang w:val="en-US"/>
        </w:rPr>
      </w:pPr>
      <w:r w:rsidRPr="00F12C3C">
        <w:rPr>
          <w:rFonts w:cs="Arial"/>
          <w:sz w:val="20"/>
          <w:lang w:val="en-US"/>
        </w:rPr>
        <w:t xml:space="preserve">The MoH and Prime Minister’s Office (PMO) present information generated by their internal tracking system at the COVID-19 platform meeting every two weeks, attended by the donor community with support from </w:t>
      </w:r>
      <w:proofErr w:type="gramStart"/>
      <w:r w:rsidRPr="00F12C3C">
        <w:rPr>
          <w:rFonts w:cs="Arial"/>
          <w:sz w:val="20"/>
          <w:lang w:val="en-US"/>
        </w:rPr>
        <w:t>LACS .</w:t>
      </w:r>
      <w:proofErr w:type="gramEnd"/>
      <w:r w:rsidRPr="00F12C3C">
        <w:rPr>
          <w:rFonts w:cs="Arial"/>
          <w:sz w:val="20"/>
          <w:lang w:val="en-US"/>
        </w:rPr>
        <w:t xml:space="preserve">  There is also a Logistics Cluster Tracking Sheet, that monitors the procurement, supply and delivery of equipment and report on the millstones, progress of access and facilitation.   </w:t>
      </w:r>
    </w:p>
    <w:p w14:paraId="253B585A" w14:textId="77777777" w:rsidR="004002DA" w:rsidRPr="00F12C3C" w:rsidRDefault="004002DA" w:rsidP="004002DA">
      <w:pPr>
        <w:rPr>
          <w:rFonts w:cs="Arial"/>
          <w:sz w:val="20"/>
          <w:lang w:val="en-US"/>
        </w:rPr>
      </w:pPr>
      <w:r w:rsidRPr="00F12C3C">
        <w:rPr>
          <w:rFonts w:cs="Arial"/>
          <w:sz w:val="20"/>
          <w:lang w:val="en-US"/>
        </w:rPr>
        <w:t>Once the equipment is delivered, the donor/ implementing partner receives the distribution list to monitor and track.  MoH is committed to facilitating site inspections for partners to verify the distribution of equipment in line with an agreed arrangement.</w:t>
      </w:r>
    </w:p>
    <w:p w14:paraId="70B92C5D" w14:textId="77777777" w:rsidR="004002DA" w:rsidRPr="00F12C3C" w:rsidRDefault="004002DA" w:rsidP="004002DA">
      <w:pPr>
        <w:rPr>
          <w:rFonts w:cs="Arial"/>
          <w:sz w:val="20"/>
          <w:lang w:val="en-US"/>
        </w:rPr>
      </w:pPr>
      <w:r w:rsidRPr="00F12C3C">
        <w:rPr>
          <w:rFonts w:cs="Arial"/>
          <w:sz w:val="20"/>
          <w:lang w:val="en-US"/>
        </w:rPr>
        <w:t xml:space="preserve">In relation to health personnel, MoH has an internal HR system to monitor and track over 13,000 employees.  This allows the Ministry to generate reports and track deployment of staff through the attendance system.  In the context of COVID-19, the deployment of staff is subject to the rapidly evolving situation on the ground, including the speed and location of the spread of the virus, the number of staff under quarantine, and other factors and thus must be monitored frequently. </w:t>
      </w:r>
    </w:p>
    <w:p w14:paraId="0AE7EA6B" w14:textId="77777777" w:rsidR="004002DA" w:rsidRPr="00F12C3C" w:rsidRDefault="004002DA" w:rsidP="004002DA">
      <w:pPr>
        <w:rPr>
          <w:rFonts w:cs="Arial"/>
          <w:sz w:val="20"/>
          <w:lang w:val="en-US"/>
        </w:rPr>
      </w:pPr>
      <w:r w:rsidRPr="00F12C3C">
        <w:rPr>
          <w:rFonts w:cs="Arial"/>
          <w:sz w:val="20"/>
          <w:lang w:val="en-US"/>
        </w:rPr>
        <w:t xml:space="preserve">UNDP will ensure that equipment and materials purchased and distributed, as well as staff who are deployed through the IPR are aligned with the verified needs.  While building on the existing systems of monitoring and tracking, UNDP will implement additional measures as necessary, to ensure transparent reporting and strong accountability.  </w:t>
      </w:r>
    </w:p>
    <w:p w14:paraId="7E18BD72" w14:textId="77777777" w:rsidR="0065077A" w:rsidRPr="00F12C3C" w:rsidRDefault="0065077A" w:rsidP="004002DA">
      <w:pPr>
        <w:rPr>
          <w:rFonts w:cs="Arial"/>
          <w:sz w:val="20"/>
          <w:lang w:val="en-US"/>
        </w:rPr>
      </w:pPr>
    </w:p>
    <w:p w14:paraId="1628AF8F" w14:textId="77777777" w:rsidR="0065077A" w:rsidRPr="00F12C3C" w:rsidRDefault="0065077A" w:rsidP="004002DA">
      <w:pPr>
        <w:rPr>
          <w:rFonts w:cs="Arial"/>
          <w:sz w:val="20"/>
          <w:lang w:val="en-US"/>
        </w:rPr>
      </w:pPr>
    </w:p>
    <w:p w14:paraId="31E3BF37" w14:textId="77777777" w:rsidR="004002DA" w:rsidRPr="00F12C3C" w:rsidRDefault="004002DA" w:rsidP="004002DA">
      <w:pPr>
        <w:rPr>
          <w:rFonts w:cs="Arial"/>
          <w:sz w:val="20"/>
          <w:lang w:val="en-US"/>
        </w:rPr>
      </w:pPr>
    </w:p>
    <w:p w14:paraId="092B78A6" w14:textId="77777777" w:rsidR="004002DA" w:rsidRPr="00F12C3C" w:rsidRDefault="004002DA" w:rsidP="004002DA">
      <w:pPr>
        <w:rPr>
          <w:rFonts w:cs="Arial"/>
          <w:b/>
          <w:bCs/>
          <w:sz w:val="20"/>
          <w:lang w:val="en-US"/>
        </w:rPr>
      </w:pPr>
      <w:r w:rsidRPr="00F12C3C">
        <w:rPr>
          <w:rFonts w:cs="Arial"/>
          <w:b/>
          <w:bCs/>
          <w:sz w:val="20"/>
          <w:u w:val="single"/>
          <w:lang w:val="en-US"/>
        </w:rPr>
        <w:lastRenderedPageBreak/>
        <w:t>Output 1.1 - Critical health facilities equipped, and health workers protected</w:t>
      </w:r>
      <w:r w:rsidRPr="00F12C3C">
        <w:rPr>
          <w:rFonts w:cs="Arial"/>
          <w:b/>
          <w:bCs/>
          <w:sz w:val="20"/>
          <w:lang w:val="en-US"/>
        </w:rPr>
        <w:t xml:space="preserve"> </w:t>
      </w:r>
    </w:p>
    <w:p w14:paraId="63C03FB6" w14:textId="77777777" w:rsidR="004002DA" w:rsidRPr="00F12C3C" w:rsidRDefault="004002DA" w:rsidP="004002DA">
      <w:pPr>
        <w:rPr>
          <w:rFonts w:cs="Arial"/>
          <w:sz w:val="20"/>
          <w:lang w:val="en-US"/>
        </w:rPr>
      </w:pPr>
      <w:r w:rsidRPr="00F12C3C">
        <w:rPr>
          <w:rFonts w:cs="Arial"/>
          <w:sz w:val="20"/>
          <w:lang w:val="en-US"/>
        </w:rPr>
        <w:t xml:space="preserve">With the additional funding available for COVID-19 response, the equipment-related needs were re-assessed in consultation with MoH and in coordination with WHO. As a result, most of the items were increased except for fumigators and bed side monitors, and the purchase of additional critical equipment (mobile vital signs digital monitors) was identified as a need.  In addition, the cost of ventilators has been reduced based on consultations with WHO and market value assessment. </w:t>
      </w:r>
    </w:p>
    <w:p w14:paraId="615906ED" w14:textId="77777777" w:rsidR="004002DA" w:rsidRDefault="004002DA" w:rsidP="004002DA">
      <w:pPr>
        <w:rPr>
          <w:rFonts w:cs="Arial"/>
          <w:sz w:val="20"/>
          <w:lang w:val="en-US"/>
        </w:rPr>
      </w:pPr>
      <w:r w:rsidRPr="00F12C3C">
        <w:rPr>
          <w:rFonts w:cs="Arial"/>
          <w:sz w:val="20"/>
          <w:lang w:val="en-US"/>
        </w:rPr>
        <w:t xml:space="preserve">The supply chain and procurement timeframe </w:t>
      </w:r>
      <w:proofErr w:type="gramStart"/>
      <w:r w:rsidRPr="00F12C3C">
        <w:rPr>
          <w:rFonts w:cs="Arial"/>
          <w:sz w:val="20"/>
          <w:lang w:val="en-US"/>
        </w:rPr>
        <w:t>was</w:t>
      </w:r>
      <w:proofErr w:type="gramEnd"/>
      <w:r w:rsidRPr="00F12C3C">
        <w:rPr>
          <w:rFonts w:cs="Arial"/>
          <w:sz w:val="20"/>
          <w:lang w:val="en-US"/>
        </w:rPr>
        <w:t xml:space="preserve"> discussed with the MoH, to address any potential challenges due to disruption in the global market. Based on their current experience, the MoH confirmed that the medical equipment identified under IPR is readily available on the market. The ventilators would require a slightly longer timeframe, which is not expected to exceed 12 months. UNDP is exploring the best procurement modality in order to ensure transparent and timely delivery.</w:t>
      </w:r>
    </w:p>
    <w:p w14:paraId="2F6B9BD3" w14:textId="77777777" w:rsidR="00F12C3C" w:rsidRPr="00F12C3C" w:rsidRDefault="00F12C3C" w:rsidP="004002DA">
      <w:pPr>
        <w:rPr>
          <w:rFonts w:cs="Arial"/>
          <w:sz w:val="20"/>
          <w:lang w:val="en-US"/>
        </w:rPr>
      </w:pPr>
    </w:p>
    <w:tbl>
      <w:tblPr>
        <w:tblStyle w:val="TableGrid"/>
        <w:tblW w:w="9351" w:type="dxa"/>
        <w:tblInd w:w="108" w:type="dxa"/>
        <w:tblLook w:val="04A0" w:firstRow="1" w:lastRow="0" w:firstColumn="1" w:lastColumn="0" w:noHBand="0" w:noVBand="1"/>
      </w:tblPr>
      <w:tblGrid>
        <w:gridCol w:w="988"/>
        <w:gridCol w:w="2693"/>
        <w:gridCol w:w="1701"/>
        <w:gridCol w:w="1701"/>
        <w:gridCol w:w="1134"/>
        <w:gridCol w:w="1134"/>
      </w:tblGrid>
      <w:tr w:rsidR="004002DA" w:rsidRPr="00F12C3C" w14:paraId="0FA177DE" w14:textId="77777777" w:rsidTr="004002DA">
        <w:trPr>
          <w:trHeight w:val="219"/>
        </w:trPr>
        <w:tc>
          <w:tcPr>
            <w:tcW w:w="7083" w:type="dxa"/>
            <w:gridSpan w:val="4"/>
            <w:shd w:val="clear" w:color="auto" w:fill="DDD9C3" w:themeFill="background2" w:themeFillShade="E6"/>
          </w:tcPr>
          <w:p w14:paraId="4E45AC71" w14:textId="77777777" w:rsidR="004002DA" w:rsidRPr="00F12C3C" w:rsidRDefault="004002DA" w:rsidP="006F767C">
            <w:pPr>
              <w:spacing w:line="288" w:lineRule="auto"/>
              <w:rPr>
                <w:rFonts w:cs="Arial"/>
                <w:b/>
                <w:bCs/>
                <w:sz w:val="20"/>
              </w:rPr>
            </w:pPr>
            <w:r w:rsidRPr="00F12C3C">
              <w:rPr>
                <w:rFonts w:cs="Arial"/>
                <w:b/>
                <w:bCs/>
                <w:sz w:val="20"/>
              </w:rPr>
              <w:t>Output 1.1</w:t>
            </w:r>
          </w:p>
        </w:tc>
        <w:tc>
          <w:tcPr>
            <w:tcW w:w="1134" w:type="dxa"/>
            <w:shd w:val="clear" w:color="auto" w:fill="E5DFEC" w:themeFill="accent4" w:themeFillTint="33"/>
          </w:tcPr>
          <w:p w14:paraId="61F54D21" w14:textId="77777777" w:rsidR="004002DA" w:rsidRPr="00F12C3C" w:rsidRDefault="004002DA" w:rsidP="006F767C">
            <w:pPr>
              <w:spacing w:line="288" w:lineRule="auto"/>
              <w:jc w:val="right"/>
              <w:rPr>
                <w:rFonts w:cs="Arial"/>
                <w:b/>
                <w:bCs/>
                <w:sz w:val="20"/>
              </w:rPr>
            </w:pPr>
            <w:r w:rsidRPr="00F12C3C">
              <w:rPr>
                <w:rFonts w:cs="Arial"/>
                <w:b/>
                <w:bCs/>
                <w:sz w:val="20"/>
              </w:rPr>
              <w:t>10 million EUR</w:t>
            </w:r>
          </w:p>
        </w:tc>
        <w:tc>
          <w:tcPr>
            <w:tcW w:w="1134" w:type="dxa"/>
            <w:shd w:val="clear" w:color="auto" w:fill="FDE9D9" w:themeFill="accent6" w:themeFillTint="33"/>
          </w:tcPr>
          <w:p w14:paraId="1A9CE247" w14:textId="77777777" w:rsidR="004002DA" w:rsidRPr="00F12C3C" w:rsidRDefault="004002DA" w:rsidP="006F767C">
            <w:pPr>
              <w:spacing w:line="288" w:lineRule="auto"/>
              <w:jc w:val="right"/>
              <w:rPr>
                <w:rFonts w:cs="Arial"/>
                <w:b/>
                <w:bCs/>
                <w:sz w:val="20"/>
              </w:rPr>
            </w:pPr>
            <w:r w:rsidRPr="00F12C3C">
              <w:rPr>
                <w:rFonts w:cs="Arial"/>
                <w:b/>
                <w:bCs/>
                <w:sz w:val="20"/>
              </w:rPr>
              <w:t>7 million EUR</w:t>
            </w:r>
          </w:p>
        </w:tc>
      </w:tr>
      <w:tr w:rsidR="004002DA" w:rsidRPr="00F12C3C" w14:paraId="5F4C9E30" w14:textId="77777777" w:rsidTr="004002DA">
        <w:trPr>
          <w:trHeight w:val="219"/>
        </w:trPr>
        <w:tc>
          <w:tcPr>
            <w:tcW w:w="988" w:type="dxa"/>
          </w:tcPr>
          <w:p w14:paraId="40802A5C" w14:textId="77777777" w:rsidR="004002DA" w:rsidRPr="00F12C3C" w:rsidRDefault="004002DA" w:rsidP="006F767C">
            <w:pPr>
              <w:spacing w:line="288" w:lineRule="auto"/>
              <w:rPr>
                <w:rFonts w:cs="Arial"/>
                <w:b/>
                <w:bCs/>
                <w:sz w:val="20"/>
              </w:rPr>
            </w:pPr>
            <w:r w:rsidRPr="00F12C3C">
              <w:rPr>
                <w:rFonts w:cs="Arial"/>
                <w:b/>
                <w:bCs/>
                <w:sz w:val="20"/>
              </w:rPr>
              <w:t>Activity</w:t>
            </w:r>
          </w:p>
        </w:tc>
        <w:tc>
          <w:tcPr>
            <w:tcW w:w="2693" w:type="dxa"/>
          </w:tcPr>
          <w:p w14:paraId="0FE5D36E" w14:textId="77777777" w:rsidR="004002DA" w:rsidRPr="00F12C3C" w:rsidRDefault="004002DA" w:rsidP="006F767C">
            <w:pPr>
              <w:spacing w:line="288" w:lineRule="auto"/>
              <w:rPr>
                <w:rFonts w:cs="Arial"/>
                <w:b/>
                <w:bCs/>
                <w:sz w:val="20"/>
              </w:rPr>
            </w:pPr>
            <w:r w:rsidRPr="00F12C3C">
              <w:rPr>
                <w:rFonts w:cs="Arial"/>
                <w:b/>
                <w:bCs/>
                <w:sz w:val="20"/>
              </w:rPr>
              <w:t>Description</w:t>
            </w:r>
          </w:p>
        </w:tc>
        <w:tc>
          <w:tcPr>
            <w:tcW w:w="1701" w:type="dxa"/>
          </w:tcPr>
          <w:p w14:paraId="7EECEBCA" w14:textId="77777777" w:rsidR="004002DA" w:rsidRPr="00F12C3C" w:rsidRDefault="004002DA" w:rsidP="006F767C">
            <w:pPr>
              <w:spacing w:line="288" w:lineRule="auto"/>
              <w:jc w:val="right"/>
              <w:rPr>
                <w:rFonts w:cs="Arial"/>
                <w:b/>
                <w:bCs/>
                <w:sz w:val="20"/>
              </w:rPr>
            </w:pPr>
            <w:r w:rsidRPr="00F12C3C">
              <w:rPr>
                <w:rFonts w:cs="Arial"/>
                <w:b/>
                <w:bCs/>
                <w:sz w:val="20"/>
              </w:rPr>
              <w:t>Unit rate (EUR)</w:t>
            </w:r>
          </w:p>
        </w:tc>
        <w:tc>
          <w:tcPr>
            <w:tcW w:w="1701" w:type="dxa"/>
          </w:tcPr>
          <w:p w14:paraId="621E9380" w14:textId="77777777" w:rsidR="004002DA" w:rsidRPr="00F12C3C" w:rsidRDefault="004002DA" w:rsidP="006F767C">
            <w:pPr>
              <w:spacing w:line="288" w:lineRule="auto"/>
              <w:rPr>
                <w:rFonts w:cs="Arial"/>
                <w:b/>
                <w:bCs/>
                <w:sz w:val="20"/>
              </w:rPr>
            </w:pPr>
            <w:r w:rsidRPr="00F12C3C">
              <w:rPr>
                <w:rFonts w:cs="Arial"/>
                <w:b/>
                <w:bCs/>
                <w:sz w:val="20"/>
              </w:rPr>
              <w:t>Unit</w:t>
            </w:r>
          </w:p>
        </w:tc>
        <w:tc>
          <w:tcPr>
            <w:tcW w:w="1134" w:type="dxa"/>
            <w:shd w:val="clear" w:color="auto" w:fill="E5DFEC" w:themeFill="accent4" w:themeFillTint="33"/>
          </w:tcPr>
          <w:p w14:paraId="4A0D7DBA" w14:textId="77777777" w:rsidR="004002DA" w:rsidRPr="00F12C3C" w:rsidRDefault="004002DA" w:rsidP="006F767C">
            <w:pPr>
              <w:spacing w:line="288" w:lineRule="auto"/>
              <w:jc w:val="right"/>
              <w:rPr>
                <w:rFonts w:cs="Arial"/>
                <w:b/>
                <w:bCs/>
                <w:sz w:val="20"/>
              </w:rPr>
            </w:pPr>
            <w:r w:rsidRPr="00F12C3C">
              <w:rPr>
                <w:rFonts w:cs="Arial"/>
                <w:b/>
                <w:bCs/>
                <w:sz w:val="20"/>
              </w:rPr>
              <w:t>Unit #</w:t>
            </w:r>
          </w:p>
        </w:tc>
        <w:tc>
          <w:tcPr>
            <w:tcW w:w="1134" w:type="dxa"/>
            <w:shd w:val="clear" w:color="auto" w:fill="FDE9D9" w:themeFill="accent6" w:themeFillTint="33"/>
          </w:tcPr>
          <w:p w14:paraId="029D1573" w14:textId="77777777" w:rsidR="004002DA" w:rsidRPr="00F12C3C" w:rsidRDefault="004002DA" w:rsidP="006F767C">
            <w:pPr>
              <w:spacing w:line="288" w:lineRule="auto"/>
              <w:jc w:val="right"/>
              <w:rPr>
                <w:rFonts w:cs="Arial"/>
                <w:b/>
                <w:bCs/>
                <w:sz w:val="20"/>
              </w:rPr>
            </w:pPr>
            <w:r w:rsidRPr="00F12C3C">
              <w:rPr>
                <w:rFonts w:cs="Arial"/>
                <w:b/>
                <w:bCs/>
                <w:sz w:val="20"/>
              </w:rPr>
              <w:t>Unit #</w:t>
            </w:r>
          </w:p>
        </w:tc>
      </w:tr>
      <w:tr w:rsidR="004002DA" w:rsidRPr="00F12C3C" w14:paraId="3141F1DD" w14:textId="77777777" w:rsidTr="004002DA">
        <w:trPr>
          <w:trHeight w:val="923"/>
        </w:trPr>
        <w:tc>
          <w:tcPr>
            <w:tcW w:w="988" w:type="dxa"/>
          </w:tcPr>
          <w:p w14:paraId="195D873C" w14:textId="77777777" w:rsidR="004002DA" w:rsidRPr="00F12C3C" w:rsidRDefault="004002DA" w:rsidP="006F767C">
            <w:pPr>
              <w:spacing w:line="288" w:lineRule="auto"/>
              <w:rPr>
                <w:rFonts w:cs="Arial"/>
                <w:sz w:val="20"/>
              </w:rPr>
            </w:pPr>
            <w:r w:rsidRPr="00F12C3C">
              <w:rPr>
                <w:rFonts w:cs="Arial"/>
                <w:b/>
                <w:bCs/>
                <w:sz w:val="20"/>
              </w:rPr>
              <w:t>Activity 1.1.1</w:t>
            </w:r>
          </w:p>
        </w:tc>
        <w:tc>
          <w:tcPr>
            <w:tcW w:w="2693" w:type="dxa"/>
          </w:tcPr>
          <w:p w14:paraId="3419D394" w14:textId="77777777" w:rsidR="004002DA" w:rsidRPr="00F12C3C" w:rsidRDefault="004002DA" w:rsidP="006F767C">
            <w:pPr>
              <w:spacing w:line="288" w:lineRule="auto"/>
              <w:rPr>
                <w:rFonts w:cs="Arial"/>
                <w:sz w:val="20"/>
                <w:lang w:val="en-US"/>
              </w:rPr>
            </w:pPr>
            <w:r w:rsidRPr="00F12C3C">
              <w:rPr>
                <w:rFonts w:cs="Arial"/>
                <w:sz w:val="20"/>
                <w:lang w:val="en-US"/>
              </w:rPr>
              <w:t xml:space="preserve">Provision of personal protective equipment to health workers+ personnel dealing with medical waste </w:t>
            </w:r>
          </w:p>
        </w:tc>
        <w:tc>
          <w:tcPr>
            <w:tcW w:w="1701" w:type="dxa"/>
          </w:tcPr>
          <w:p w14:paraId="5DD692E1" w14:textId="77777777" w:rsidR="004002DA" w:rsidRPr="00F12C3C" w:rsidRDefault="004002DA" w:rsidP="006F767C">
            <w:pPr>
              <w:spacing w:line="288" w:lineRule="auto"/>
              <w:jc w:val="right"/>
              <w:rPr>
                <w:rFonts w:cs="Arial"/>
                <w:sz w:val="20"/>
              </w:rPr>
            </w:pPr>
            <w:r w:rsidRPr="00F12C3C">
              <w:rPr>
                <w:rFonts w:cs="Arial"/>
                <w:sz w:val="20"/>
              </w:rPr>
              <w:t>55</w:t>
            </w:r>
          </w:p>
        </w:tc>
        <w:tc>
          <w:tcPr>
            <w:tcW w:w="1701" w:type="dxa"/>
          </w:tcPr>
          <w:p w14:paraId="0BCDB1D6" w14:textId="77777777" w:rsidR="004002DA" w:rsidRPr="00F12C3C" w:rsidRDefault="004002DA" w:rsidP="006F767C">
            <w:pPr>
              <w:spacing w:line="288" w:lineRule="auto"/>
              <w:rPr>
                <w:rFonts w:cs="Arial"/>
                <w:sz w:val="20"/>
              </w:rPr>
            </w:pPr>
            <w:r w:rsidRPr="00F12C3C">
              <w:rPr>
                <w:rFonts w:cs="Arial"/>
                <w:sz w:val="20"/>
              </w:rPr>
              <w:t>PPE set</w:t>
            </w:r>
          </w:p>
        </w:tc>
        <w:tc>
          <w:tcPr>
            <w:tcW w:w="1134" w:type="dxa"/>
            <w:shd w:val="clear" w:color="auto" w:fill="E5DFEC" w:themeFill="accent4" w:themeFillTint="33"/>
          </w:tcPr>
          <w:p w14:paraId="6D2C0806" w14:textId="77777777" w:rsidR="004002DA" w:rsidRPr="00F12C3C" w:rsidRDefault="004002DA" w:rsidP="006F767C">
            <w:pPr>
              <w:spacing w:line="288" w:lineRule="auto"/>
              <w:jc w:val="right"/>
              <w:rPr>
                <w:rFonts w:cs="Arial"/>
                <w:sz w:val="20"/>
              </w:rPr>
            </w:pPr>
            <w:r w:rsidRPr="00F12C3C">
              <w:rPr>
                <w:rFonts w:cs="Arial"/>
                <w:sz w:val="20"/>
              </w:rPr>
              <w:t>9,600</w:t>
            </w:r>
          </w:p>
        </w:tc>
        <w:tc>
          <w:tcPr>
            <w:tcW w:w="1134" w:type="dxa"/>
            <w:shd w:val="clear" w:color="auto" w:fill="FDE9D9" w:themeFill="accent6" w:themeFillTint="33"/>
          </w:tcPr>
          <w:p w14:paraId="4D3CD19A" w14:textId="77777777" w:rsidR="004002DA" w:rsidRPr="00F12C3C" w:rsidRDefault="004002DA" w:rsidP="006F767C">
            <w:pPr>
              <w:spacing w:line="288" w:lineRule="auto"/>
              <w:jc w:val="right"/>
              <w:rPr>
                <w:rFonts w:cs="Arial"/>
                <w:sz w:val="20"/>
              </w:rPr>
            </w:pPr>
            <w:r w:rsidRPr="00F12C3C">
              <w:rPr>
                <w:rFonts w:cs="Arial"/>
                <w:sz w:val="20"/>
              </w:rPr>
              <w:t>1,500</w:t>
            </w:r>
          </w:p>
        </w:tc>
      </w:tr>
      <w:tr w:rsidR="004002DA" w:rsidRPr="00F12C3C" w14:paraId="097D9D1B" w14:textId="77777777" w:rsidTr="004002DA">
        <w:trPr>
          <w:trHeight w:val="134"/>
        </w:trPr>
        <w:tc>
          <w:tcPr>
            <w:tcW w:w="988" w:type="dxa"/>
            <w:vMerge w:val="restart"/>
          </w:tcPr>
          <w:p w14:paraId="49E87ADC" w14:textId="77777777" w:rsidR="004002DA" w:rsidRPr="00F12C3C" w:rsidRDefault="004002DA" w:rsidP="006F767C">
            <w:pPr>
              <w:spacing w:line="288" w:lineRule="auto"/>
              <w:rPr>
                <w:rFonts w:cs="Arial"/>
                <w:sz w:val="20"/>
              </w:rPr>
            </w:pPr>
            <w:r w:rsidRPr="00F12C3C">
              <w:rPr>
                <w:rFonts w:cs="Arial"/>
                <w:b/>
                <w:bCs/>
                <w:sz w:val="20"/>
              </w:rPr>
              <w:t>Activity 1.1.2</w:t>
            </w:r>
          </w:p>
        </w:tc>
        <w:tc>
          <w:tcPr>
            <w:tcW w:w="2693" w:type="dxa"/>
            <w:vMerge w:val="restart"/>
          </w:tcPr>
          <w:p w14:paraId="76BE2003" w14:textId="77777777" w:rsidR="004002DA" w:rsidRPr="00F12C3C" w:rsidRDefault="004002DA" w:rsidP="006F767C">
            <w:pPr>
              <w:spacing w:line="288" w:lineRule="auto"/>
              <w:rPr>
                <w:rFonts w:cs="Arial"/>
                <w:sz w:val="20"/>
                <w:lang w:val="en-US"/>
              </w:rPr>
            </w:pPr>
            <w:r w:rsidRPr="00F12C3C">
              <w:rPr>
                <w:rFonts w:cs="Arial"/>
                <w:sz w:val="20"/>
                <w:lang w:val="en-US"/>
              </w:rPr>
              <w:t xml:space="preserve">Provision of </w:t>
            </w:r>
            <w:proofErr w:type="spellStart"/>
            <w:r w:rsidRPr="00F12C3C">
              <w:rPr>
                <w:rFonts w:cs="Arial"/>
                <w:sz w:val="20"/>
                <w:lang w:val="en-US"/>
              </w:rPr>
              <w:t>sterilisation</w:t>
            </w:r>
            <w:proofErr w:type="spellEnd"/>
            <w:r w:rsidRPr="00F12C3C">
              <w:rPr>
                <w:rFonts w:cs="Arial"/>
                <w:sz w:val="20"/>
                <w:lang w:val="en-US"/>
              </w:rPr>
              <w:t xml:space="preserve"> equipment to health facilities</w:t>
            </w:r>
          </w:p>
        </w:tc>
        <w:tc>
          <w:tcPr>
            <w:tcW w:w="1701" w:type="dxa"/>
          </w:tcPr>
          <w:p w14:paraId="76DF07FA" w14:textId="77777777" w:rsidR="004002DA" w:rsidRPr="00F12C3C" w:rsidRDefault="004002DA" w:rsidP="006F767C">
            <w:pPr>
              <w:spacing w:line="288" w:lineRule="auto"/>
              <w:jc w:val="right"/>
              <w:rPr>
                <w:rFonts w:cs="Arial"/>
                <w:sz w:val="20"/>
              </w:rPr>
            </w:pPr>
            <w:r w:rsidRPr="00F12C3C">
              <w:rPr>
                <w:rFonts w:cs="Arial"/>
                <w:sz w:val="20"/>
              </w:rPr>
              <w:t>475</w:t>
            </w:r>
          </w:p>
        </w:tc>
        <w:tc>
          <w:tcPr>
            <w:tcW w:w="1701" w:type="dxa"/>
          </w:tcPr>
          <w:p w14:paraId="6541E972" w14:textId="77777777" w:rsidR="004002DA" w:rsidRPr="00F12C3C" w:rsidRDefault="004002DA" w:rsidP="006F767C">
            <w:pPr>
              <w:spacing w:line="288" w:lineRule="auto"/>
              <w:rPr>
                <w:rFonts w:cs="Arial"/>
                <w:sz w:val="20"/>
              </w:rPr>
            </w:pPr>
            <w:r w:rsidRPr="00F12C3C">
              <w:rPr>
                <w:rFonts w:cs="Arial"/>
                <w:sz w:val="20"/>
              </w:rPr>
              <w:t xml:space="preserve">fumigators </w:t>
            </w:r>
          </w:p>
        </w:tc>
        <w:tc>
          <w:tcPr>
            <w:tcW w:w="1134" w:type="dxa"/>
            <w:shd w:val="clear" w:color="auto" w:fill="E5DFEC" w:themeFill="accent4" w:themeFillTint="33"/>
          </w:tcPr>
          <w:p w14:paraId="2CA59C59" w14:textId="77777777" w:rsidR="004002DA" w:rsidRPr="00F12C3C" w:rsidRDefault="004002DA" w:rsidP="006F767C">
            <w:pPr>
              <w:spacing w:line="288" w:lineRule="auto"/>
              <w:jc w:val="right"/>
              <w:rPr>
                <w:rFonts w:cs="Arial"/>
                <w:sz w:val="20"/>
              </w:rPr>
            </w:pPr>
            <w:r w:rsidRPr="00F12C3C">
              <w:rPr>
                <w:rFonts w:cs="Arial"/>
                <w:sz w:val="20"/>
              </w:rPr>
              <w:t>85</w:t>
            </w:r>
          </w:p>
        </w:tc>
        <w:tc>
          <w:tcPr>
            <w:tcW w:w="1134" w:type="dxa"/>
            <w:shd w:val="clear" w:color="auto" w:fill="FDE9D9" w:themeFill="accent6" w:themeFillTint="33"/>
          </w:tcPr>
          <w:p w14:paraId="686BC551" w14:textId="77777777" w:rsidR="004002DA" w:rsidRPr="00F12C3C" w:rsidRDefault="004002DA" w:rsidP="006F767C">
            <w:pPr>
              <w:spacing w:line="288" w:lineRule="auto"/>
              <w:jc w:val="right"/>
              <w:rPr>
                <w:rFonts w:cs="Arial"/>
                <w:sz w:val="20"/>
              </w:rPr>
            </w:pPr>
            <w:r w:rsidRPr="00F12C3C">
              <w:rPr>
                <w:rFonts w:cs="Arial"/>
                <w:sz w:val="20"/>
              </w:rPr>
              <w:t>0</w:t>
            </w:r>
          </w:p>
        </w:tc>
      </w:tr>
      <w:tr w:rsidR="004002DA" w:rsidRPr="00F12C3C" w14:paraId="744393C1" w14:textId="77777777" w:rsidTr="004002DA">
        <w:trPr>
          <w:trHeight w:val="107"/>
        </w:trPr>
        <w:tc>
          <w:tcPr>
            <w:tcW w:w="988" w:type="dxa"/>
            <w:vMerge/>
          </w:tcPr>
          <w:p w14:paraId="3300BEC5" w14:textId="77777777" w:rsidR="004002DA" w:rsidRPr="00F12C3C" w:rsidRDefault="004002DA" w:rsidP="006F767C">
            <w:pPr>
              <w:spacing w:line="288" w:lineRule="auto"/>
              <w:rPr>
                <w:rFonts w:cs="Arial"/>
                <w:b/>
                <w:bCs/>
                <w:sz w:val="20"/>
              </w:rPr>
            </w:pPr>
          </w:p>
        </w:tc>
        <w:tc>
          <w:tcPr>
            <w:tcW w:w="2693" w:type="dxa"/>
            <w:vMerge/>
          </w:tcPr>
          <w:p w14:paraId="3EA35A9E" w14:textId="77777777" w:rsidR="004002DA" w:rsidRPr="00F12C3C" w:rsidRDefault="004002DA" w:rsidP="006F767C">
            <w:pPr>
              <w:spacing w:line="288" w:lineRule="auto"/>
              <w:rPr>
                <w:rFonts w:cs="Arial"/>
                <w:sz w:val="20"/>
              </w:rPr>
            </w:pPr>
          </w:p>
        </w:tc>
        <w:tc>
          <w:tcPr>
            <w:tcW w:w="1701" w:type="dxa"/>
          </w:tcPr>
          <w:p w14:paraId="1BD82B14" w14:textId="77777777" w:rsidR="004002DA" w:rsidRPr="00F12C3C" w:rsidRDefault="004002DA" w:rsidP="006F767C">
            <w:pPr>
              <w:spacing w:line="288" w:lineRule="auto"/>
              <w:jc w:val="right"/>
              <w:rPr>
                <w:rFonts w:cs="Arial"/>
                <w:sz w:val="20"/>
              </w:rPr>
            </w:pPr>
            <w:r w:rsidRPr="00F12C3C">
              <w:rPr>
                <w:rFonts w:cs="Arial"/>
                <w:sz w:val="20"/>
              </w:rPr>
              <w:t>90</w:t>
            </w:r>
          </w:p>
        </w:tc>
        <w:tc>
          <w:tcPr>
            <w:tcW w:w="1701" w:type="dxa"/>
          </w:tcPr>
          <w:p w14:paraId="4EF96346" w14:textId="77777777" w:rsidR="004002DA" w:rsidRPr="00F12C3C" w:rsidRDefault="004002DA" w:rsidP="006F767C">
            <w:pPr>
              <w:spacing w:line="288" w:lineRule="auto"/>
              <w:rPr>
                <w:rFonts w:cs="Arial"/>
                <w:sz w:val="20"/>
              </w:rPr>
            </w:pPr>
            <w:r w:rsidRPr="00F12C3C">
              <w:rPr>
                <w:rFonts w:cs="Arial"/>
                <w:sz w:val="20"/>
              </w:rPr>
              <w:t xml:space="preserve">spray pump </w:t>
            </w:r>
          </w:p>
        </w:tc>
        <w:tc>
          <w:tcPr>
            <w:tcW w:w="1134" w:type="dxa"/>
            <w:shd w:val="clear" w:color="auto" w:fill="E5DFEC" w:themeFill="accent4" w:themeFillTint="33"/>
          </w:tcPr>
          <w:p w14:paraId="5062596F" w14:textId="77777777" w:rsidR="004002DA" w:rsidRPr="00F12C3C" w:rsidRDefault="004002DA" w:rsidP="006F767C">
            <w:pPr>
              <w:spacing w:line="288" w:lineRule="auto"/>
              <w:jc w:val="right"/>
              <w:rPr>
                <w:rFonts w:cs="Arial"/>
                <w:sz w:val="20"/>
              </w:rPr>
            </w:pPr>
            <w:r w:rsidRPr="00F12C3C">
              <w:rPr>
                <w:rFonts w:cs="Arial"/>
                <w:sz w:val="20"/>
              </w:rPr>
              <w:t>420</w:t>
            </w:r>
          </w:p>
        </w:tc>
        <w:tc>
          <w:tcPr>
            <w:tcW w:w="1134" w:type="dxa"/>
            <w:shd w:val="clear" w:color="auto" w:fill="FDE9D9" w:themeFill="accent6" w:themeFillTint="33"/>
          </w:tcPr>
          <w:p w14:paraId="680DCB77" w14:textId="77777777" w:rsidR="004002DA" w:rsidRPr="00F12C3C" w:rsidRDefault="004002DA" w:rsidP="006F767C">
            <w:pPr>
              <w:spacing w:line="288" w:lineRule="auto"/>
              <w:jc w:val="right"/>
              <w:rPr>
                <w:rFonts w:cs="Arial"/>
                <w:sz w:val="20"/>
              </w:rPr>
            </w:pPr>
            <w:r w:rsidRPr="00F12C3C">
              <w:rPr>
                <w:rFonts w:cs="Arial"/>
                <w:sz w:val="20"/>
              </w:rPr>
              <w:t>180</w:t>
            </w:r>
          </w:p>
        </w:tc>
      </w:tr>
      <w:tr w:rsidR="004002DA" w:rsidRPr="00F12C3C" w14:paraId="069A3386" w14:textId="77777777" w:rsidTr="004002DA">
        <w:trPr>
          <w:trHeight w:val="461"/>
        </w:trPr>
        <w:tc>
          <w:tcPr>
            <w:tcW w:w="988" w:type="dxa"/>
            <w:vMerge w:val="restart"/>
          </w:tcPr>
          <w:p w14:paraId="5F885929" w14:textId="77777777" w:rsidR="004002DA" w:rsidRPr="00F12C3C" w:rsidRDefault="004002DA" w:rsidP="006F767C">
            <w:pPr>
              <w:spacing w:line="288" w:lineRule="auto"/>
              <w:rPr>
                <w:rFonts w:cs="Arial"/>
                <w:sz w:val="20"/>
              </w:rPr>
            </w:pPr>
            <w:r w:rsidRPr="00F12C3C">
              <w:rPr>
                <w:rFonts w:cs="Arial"/>
                <w:b/>
                <w:bCs/>
                <w:sz w:val="20"/>
              </w:rPr>
              <w:t>Activity 1.1.3</w:t>
            </w:r>
          </w:p>
          <w:p w14:paraId="0CD15217" w14:textId="77777777" w:rsidR="004002DA" w:rsidRPr="00F12C3C" w:rsidRDefault="004002DA" w:rsidP="006F767C">
            <w:pPr>
              <w:spacing w:line="288" w:lineRule="auto"/>
              <w:rPr>
                <w:rFonts w:cs="Arial"/>
                <w:sz w:val="20"/>
              </w:rPr>
            </w:pPr>
          </w:p>
        </w:tc>
        <w:tc>
          <w:tcPr>
            <w:tcW w:w="2693" w:type="dxa"/>
            <w:vMerge w:val="restart"/>
          </w:tcPr>
          <w:p w14:paraId="5546E7D0" w14:textId="77777777" w:rsidR="004002DA" w:rsidRPr="00F12C3C" w:rsidRDefault="004002DA" w:rsidP="006F767C">
            <w:pPr>
              <w:spacing w:line="288" w:lineRule="auto"/>
              <w:rPr>
                <w:rFonts w:cs="Arial"/>
                <w:sz w:val="20"/>
                <w:lang w:val="en-US"/>
              </w:rPr>
            </w:pPr>
            <w:r w:rsidRPr="00F12C3C">
              <w:rPr>
                <w:rFonts w:cs="Arial"/>
                <w:sz w:val="20"/>
                <w:lang w:val="en-US"/>
              </w:rPr>
              <w:t>Provision of medical tools to health facilities</w:t>
            </w:r>
          </w:p>
          <w:p w14:paraId="1C37FDE4" w14:textId="77777777" w:rsidR="004002DA" w:rsidRPr="00F12C3C" w:rsidRDefault="004002DA" w:rsidP="006F767C">
            <w:pPr>
              <w:spacing w:line="288" w:lineRule="auto"/>
              <w:rPr>
                <w:rFonts w:cs="Arial"/>
                <w:sz w:val="20"/>
                <w:lang w:val="en-US"/>
              </w:rPr>
            </w:pPr>
          </w:p>
        </w:tc>
        <w:tc>
          <w:tcPr>
            <w:tcW w:w="1701" w:type="dxa"/>
          </w:tcPr>
          <w:p w14:paraId="2B13D9D0" w14:textId="77777777" w:rsidR="004002DA" w:rsidRPr="00F12C3C" w:rsidRDefault="004002DA" w:rsidP="006F767C">
            <w:pPr>
              <w:spacing w:line="288" w:lineRule="auto"/>
              <w:jc w:val="right"/>
              <w:rPr>
                <w:rFonts w:cs="Arial"/>
                <w:sz w:val="20"/>
              </w:rPr>
            </w:pPr>
            <w:r w:rsidRPr="00F12C3C">
              <w:rPr>
                <w:rFonts w:cs="Arial"/>
                <w:sz w:val="20"/>
              </w:rPr>
              <w:t>900</w:t>
            </w:r>
          </w:p>
        </w:tc>
        <w:tc>
          <w:tcPr>
            <w:tcW w:w="1701" w:type="dxa"/>
          </w:tcPr>
          <w:p w14:paraId="3397CD11" w14:textId="77777777" w:rsidR="004002DA" w:rsidRPr="00F12C3C" w:rsidRDefault="004002DA" w:rsidP="006F767C">
            <w:pPr>
              <w:spacing w:line="288" w:lineRule="auto"/>
              <w:rPr>
                <w:rFonts w:cs="Arial"/>
                <w:sz w:val="20"/>
              </w:rPr>
            </w:pPr>
            <w:r w:rsidRPr="00F12C3C">
              <w:rPr>
                <w:rFonts w:cs="Arial"/>
                <w:sz w:val="20"/>
              </w:rPr>
              <w:t>mobile suction machines</w:t>
            </w:r>
          </w:p>
        </w:tc>
        <w:tc>
          <w:tcPr>
            <w:tcW w:w="1134" w:type="dxa"/>
            <w:shd w:val="clear" w:color="auto" w:fill="E5DFEC" w:themeFill="accent4" w:themeFillTint="33"/>
          </w:tcPr>
          <w:p w14:paraId="61A2CA1C" w14:textId="77777777" w:rsidR="004002DA" w:rsidRPr="00F12C3C" w:rsidRDefault="004002DA" w:rsidP="006F767C">
            <w:pPr>
              <w:spacing w:line="288" w:lineRule="auto"/>
              <w:jc w:val="right"/>
              <w:rPr>
                <w:rFonts w:cs="Arial"/>
                <w:sz w:val="20"/>
              </w:rPr>
            </w:pPr>
            <w:r w:rsidRPr="00F12C3C">
              <w:rPr>
                <w:rFonts w:cs="Arial"/>
                <w:sz w:val="20"/>
              </w:rPr>
              <w:t>85</w:t>
            </w:r>
          </w:p>
        </w:tc>
        <w:tc>
          <w:tcPr>
            <w:tcW w:w="1134" w:type="dxa"/>
            <w:shd w:val="clear" w:color="auto" w:fill="FDE9D9" w:themeFill="accent6" w:themeFillTint="33"/>
          </w:tcPr>
          <w:p w14:paraId="3D307235" w14:textId="77777777" w:rsidR="004002DA" w:rsidRPr="00F12C3C" w:rsidRDefault="004002DA" w:rsidP="006F767C">
            <w:pPr>
              <w:tabs>
                <w:tab w:val="left" w:pos="780"/>
              </w:tabs>
              <w:spacing w:line="288" w:lineRule="auto"/>
              <w:jc w:val="right"/>
              <w:rPr>
                <w:rFonts w:cs="Arial"/>
                <w:sz w:val="20"/>
              </w:rPr>
            </w:pPr>
            <w:r w:rsidRPr="00F12C3C">
              <w:rPr>
                <w:rFonts w:cs="Arial"/>
                <w:sz w:val="20"/>
              </w:rPr>
              <w:t>15</w:t>
            </w:r>
          </w:p>
        </w:tc>
      </w:tr>
      <w:tr w:rsidR="004002DA" w:rsidRPr="00F12C3C" w14:paraId="36B2A0F0" w14:textId="77777777" w:rsidTr="004002DA">
        <w:trPr>
          <w:trHeight w:val="299"/>
        </w:trPr>
        <w:tc>
          <w:tcPr>
            <w:tcW w:w="988" w:type="dxa"/>
            <w:vMerge/>
          </w:tcPr>
          <w:p w14:paraId="64B74E1B" w14:textId="77777777" w:rsidR="004002DA" w:rsidRPr="00F12C3C" w:rsidRDefault="004002DA" w:rsidP="006F767C">
            <w:pPr>
              <w:spacing w:line="288" w:lineRule="auto"/>
              <w:rPr>
                <w:rFonts w:cs="Arial"/>
                <w:b/>
                <w:bCs/>
                <w:sz w:val="20"/>
              </w:rPr>
            </w:pPr>
          </w:p>
        </w:tc>
        <w:tc>
          <w:tcPr>
            <w:tcW w:w="2693" w:type="dxa"/>
            <w:vMerge/>
          </w:tcPr>
          <w:p w14:paraId="673C4503" w14:textId="77777777" w:rsidR="004002DA" w:rsidRPr="00F12C3C" w:rsidRDefault="004002DA" w:rsidP="006F767C">
            <w:pPr>
              <w:spacing w:line="288" w:lineRule="auto"/>
              <w:rPr>
                <w:rFonts w:cs="Arial"/>
                <w:sz w:val="20"/>
              </w:rPr>
            </w:pPr>
          </w:p>
        </w:tc>
        <w:tc>
          <w:tcPr>
            <w:tcW w:w="1701" w:type="dxa"/>
          </w:tcPr>
          <w:p w14:paraId="0E3070D0" w14:textId="77777777" w:rsidR="004002DA" w:rsidRPr="00F12C3C" w:rsidRDefault="004002DA" w:rsidP="006F767C">
            <w:pPr>
              <w:spacing w:line="288" w:lineRule="auto"/>
              <w:jc w:val="right"/>
              <w:rPr>
                <w:rFonts w:cs="Arial"/>
                <w:sz w:val="20"/>
              </w:rPr>
            </w:pPr>
            <w:r w:rsidRPr="00F12C3C">
              <w:rPr>
                <w:rFonts w:cs="Arial"/>
                <w:sz w:val="20"/>
              </w:rPr>
              <w:t>1,150</w:t>
            </w:r>
          </w:p>
        </w:tc>
        <w:tc>
          <w:tcPr>
            <w:tcW w:w="1701" w:type="dxa"/>
          </w:tcPr>
          <w:p w14:paraId="7364A48A" w14:textId="77777777" w:rsidR="004002DA" w:rsidRPr="00F12C3C" w:rsidRDefault="004002DA" w:rsidP="006F767C">
            <w:pPr>
              <w:spacing w:line="288" w:lineRule="auto"/>
              <w:rPr>
                <w:rFonts w:cs="Arial"/>
                <w:sz w:val="20"/>
              </w:rPr>
            </w:pPr>
            <w:r w:rsidRPr="00F12C3C">
              <w:rPr>
                <w:rFonts w:cs="Arial"/>
                <w:sz w:val="20"/>
              </w:rPr>
              <w:t>syringe pumps</w:t>
            </w:r>
          </w:p>
        </w:tc>
        <w:tc>
          <w:tcPr>
            <w:tcW w:w="1134" w:type="dxa"/>
            <w:shd w:val="clear" w:color="auto" w:fill="E5DFEC" w:themeFill="accent4" w:themeFillTint="33"/>
          </w:tcPr>
          <w:p w14:paraId="77093F2F" w14:textId="77777777" w:rsidR="004002DA" w:rsidRPr="00F12C3C" w:rsidRDefault="004002DA" w:rsidP="006F767C">
            <w:pPr>
              <w:spacing w:line="288" w:lineRule="auto"/>
              <w:jc w:val="right"/>
              <w:rPr>
                <w:rFonts w:cs="Arial"/>
                <w:sz w:val="20"/>
              </w:rPr>
            </w:pPr>
            <w:r w:rsidRPr="00F12C3C">
              <w:rPr>
                <w:rFonts w:cs="Arial"/>
                <w:sz w:val="20"/>
              </w:rPr>
              <w:t>140</w:t>
            </w:r>
          </w:p>
        </w:tc>
        <w:tc>
          <w:tcPr>
            <w:tcW w:w="1134" w:type="dxa"/>
            <w:shd w:val="clear" w:color="auto" w:fill="FDE9D9" w:themeFill="accent6" w:themeFillTint="33"/>
          </w:tcPr>
          <w:p w14:paraId="38C9F46C" w14:textId="77777777" w:rsidR="004002DA" w:rsidRPr="00F12C3C" w:rsidRDefault="004002DA" w:rsidP="006F767C">
            <w:pPr>
              <w:spacing w:line="288" w:lineRule="auto"/>
              <w:jc w:val="right"/>
              <w:rPr>
                <w:rFonts w:cs="Arial"/>
                <w:sz w:val="20"/>
              </w:rPr>
            </w:pPr>
            <w:r w:rsidRPr="00F12C3C">
              <w:rPr>
                <w:rFonts w:cs="Arial"/>
                <w:sz w:val="20"/>
              </w:rPr>
              <w:t>110</w:t>
            </w:r>
          </w:p>
        </w:tc>
      </w:tr>
      <w:tr w:rsidR="004002DA" w:rsidRPr="00F12C3C" w14:paraId="71C65A71" w14:textId="77777777" w:rsidTr="004002DA">
        <w:trPr>
          <w:trHeight w:val="303"/>
        </w:trPr>
        <w:tc>
          <w:tcPr>
            <w:tcW w:w="988" w:type="dxa"/>
            <w:vMerge/>
          </w:tcPr>
          <w:p w14:paraId="7DD4D886" w14:textId="77777777" w:rsidR="004002DA" w:rsidRPr="00F12C3C" w:rsidRDefault="004002DA" w:rsidP="006F767C">
            <w:pPr>
              <w:spacing w:line="288" w:lineRule="auto"/>
              <w:rPr>
                <w:rFonts w:cs="Arial"/>
                <w:sz w:val="20"/>
              </w:rPr>
            </w:pPr>
          </w:p>
        </w:tc>
        <w:tc>
          <w:tcPr>
            <w:tcW w:w="2693" w:type="dxa"/>
            <w:vMerge/>
          </w:tcPr>
          <w:p w14:paraId="69837581" w14:textId="77777777" w:rsidR="004002DA" w:rsidRPr="00F12C3C" w:rsidRDefault="004002DA" w:rsidP="006F767C">
            <w:pPr>
              <w:spacing w:line="288" w:lineRule="auto"/>
              <w:rPr>
                <w:rFonts w:cs="Arial"/>
                <w:sz w:val="20"/>
              </w:rPr>
            </w:pPr>
          </w:p>
        </w:tc>
        <w:tc>
          <w:tcPr>
            <w:tcW w:w="1701" w:type="dxa"/>
          </w:tcPr>
          <w:p w14:paraId="733FB432" w14:textId="77777777" w:rsidR="004002DA" w:rsidRPr="00F12C3C" w:rsidRDefault="004002DA" w:rsidP="006F767C">
            <w:pPr>
              <w:spacing w:line="288" w:lineRule="auto"/>
              <w:jc w:val="right"/>
              <w:rPr>
                <w:rFonts w:cs="Arial"/>
                <w:sz w:val="20"/>
              </w:rPr>
            </w:pPr>
            <w:r w:rsidRPr="00F12C3C">
              <w:rPr>
                <w:rFonts w:cs="Arial"/>
                <w:sz w:val="20"/>
              </w:rPr>
              <w:t>1,400</w:t>
            </w:r>
          </w:p>
        </w:tc>
        <w:tc>
          <w:tcPr>
            <w:tcW w:w="1701" w:type="dxa"/>
          </w:tcPr>
          <w:p w14:paraId="6DF0D64D" w14:textId="77777777" w:rsidR="004002DA" w:rsidRPr="00F12C3C" w:rsidRDefault="004002DA" w:rsidP="006F767C">
            <w:pPr>
              <w:spacing w:line="288" w:lineRule="auto"/>
              <w:rPr>
                <w:rFonts w:cs="Arial"/>
                <w:sz w:val="20"/>
                <w:lang w:val="en-US"/>
              </w:rPr>
            </w:pPr>
            <w:r w:rsidRPr="00F12C3C">
              <w:rPr>
                <w:rFonts w:cs="Arial"/>
                <w:sz w:val="20"/>
                <w:lang w:val="en-US"/>
              </w:rPr>
              <w:t>mobile vital signs digital monitor</w:t>
            </w:r>
          </w:p>
        </w:tc>
        <w:tc>
          <w:tcPr>
            <w:tcW w:w="1134" w:type="dxa"/>
            <w:shd w:val="clear" w:color="auto" w:fill="E5DFEC" w:themeFill="accent4" w:themeFillTint="33"/>
          </w:tcPr>
          <w:p w14:paraId="4B5A36CB" w14:textId="77777777" w:rsidR="004002DA" w:rsidRPr="00F12C3C" w:rsidRDefault="004002DA" w:rsidP="006F767C">
            <w:pPr>
              <w:spacing w:line="288" w:lineRule="auto"/>
              <w:jc w:val="right"/>
              <w:rPr>
                <w:rFonts w:cs="Arial"/>
                <w:sz w:val="20"/>
              </w:rPr>
            </w:pPr>
            <w:r w:rsidRPr="00F12C3C">
              <w:rPr>
                <w:rFonts w:cs="Arial"/>
                <w:sz w:val="20"/>
              </w:rPr>
              <w:t>-</w:t>
            </w:r>
          </w:p>
        </w:tc>
        <w:tc>
          <w:tcPr>
            <w:tcW w:w="1134" w:type="dxa"/>
            <w:shd w:val="clear" w:color="auto" w:fill="FDE9D9" w:themeFill="accent6" w:themeFillTint="33"/>
          </w:tcPr>
          <w:p w14:paraId="5EF4D619" w14:textId="77777777" w:rsidR="004002DA" w:rsidRPr="00F12C3C" w:rsidRDefault="004002DA" w:rsidP="006F767C">
            <w:pPr>
              <w:spacing w:line="288" w:lineRule="auto"/>
              <w:jc w:val="right"/>
              <w:rPr>
                <w:rFonts w:cs="Arial"/>
                <w:sz w:val="20"/>
              </w:rPr>
            </w:pPr>
            <w:r w:rsidRPr="00F12C3C">
              <w:rPr>
                <w:rFonts w:cs="Arial"/>
                <w:sz w:val="20"/>
              </w:rPr>
              <w:t>200</w:t>
            </w:r>
          </w:p>
        </w:tc>
      </w:tr>
      <w:tr w:rsidR="004002DA" w:rsidRPr="00F12C3C" w14:paraId="364F250F" w14:textId="77777777" w:rsidTr="004002DA">
        <w:trPr>
          <w:trHeight w:val="495"/>
        </w:trPr>
        <w:tc>
          <w:tcPr>
            <w:tcW w:w="988" w:type="dxa"/>
            <w:vMerge w:val="restart"/>
          </w:tcPr>
          <w:p w14:paraId="61888754" w14:textId="77777777" w:rsidR="004002DA" w:rsidRPr="00F12C3C" w:rsidRDefault="004002DA" w:rsidP="006F767C">
            <w:pPr>
              <w:spacing w:line="288" w:lineRule="auto"/>
              <w:rPr>
                <w:rFonts w:cs="Arial"/>
                <w:sz w:val="20"/>
              </w:rPr>
            </w:pPr>
            <w:r w:rsidRPr="00F12C3C">
              <w:rPr>
                <w:rFonts w:cs="Arial"/>
                <w:b/>
                <w:bCs/>
                <w:sz w:val="20"/>
              </w:rPr>
              <w:t>Activity 1.1.4</w:t>
            </w:r>
          </w:p>
        </w:tc>
        <w:tc>
          <w:tcPr>
            <w:tcW w:w="2693" w:type="dxa"/>
            <w:vMerge w:val="restart"/>
          </w:tcPr>
          <w:p w14:paraId="4DBC791B" w14:textId="77777777" w:rsidR="004002DA" w:rsidRPr="00F12C3C" w:rsidRDefault="004002DA" w:rsidP="006F767C">
            <w:pPr>
              <w:spacing w:line="288" w:lineRule="auto"/>
              <w:rPr>
                <w:rFonts w:cs="Arial"/>
                <w:sz w:val="20"/>
                <w:lang w:val="en-US"/>
              </w:rPr>
            </w:pPr>
            <w:r w:rsidRPr="00F12C3C">
              <w:rPr>
                <w:rFonts w:cs="Arial"/>
                <w:sz w:val="20"/>
                <w:lang w:val="en-US"/>
              </w:rPr>
              <w:t>Provision and installation of treatment equipment in health facilities for intensive care units</w:t>
            </w:r>
          </w:p>
        </w:tc>
        <w:tc>
          <w:tcPr>
            <w:tcW w:w="1701" w:type="dxa"/>
          </w:tcPr>
          <w:p w14:paraId="527EE79C" w14:textId="77777777" w:rsidR="004002DA" w:rsidRPr="00F12C3C" w:rsidRDefault="004002DA" w:rsidP="006F767C">
            <w:pPr>
              <w:spacing w:line="288" w:lineRule="auto"/>
              <w:jc w:val="right"/>
              <w:rPr>
                <w:rFonts w:cs="Arial"/>
                <w:sz w:val="20"/>
              </w:rPr>
            </w:pPr>
            <w:r w:rsidRPr="00F12C3C">
              <w:rPr>
                <w:rFonts w:cs="Arial"/>
                <w:sz w:val="20"/>
              </w:rPr>
              <w:t>3,400</w:t>
            </w:r>
          </w:p>
        </w:tc>
        <w:tc>
          <w:tcPr>
            <w:tcW w:w="1701" w:type="dxa"/>
          </w:tcPr>
          <w:p w14:paraId="69882D9A" w14:textId="77777777" w:rsidR="004002DA" w:rsidRPr="00F12C3C" w:rsidRDefault="004002DA" w:rsidP="006F767C">
            <w:pPr>
              <w:spacing w:line="288" w:lineRule="auto"/>
              <w:rPr>
                <w:rFonts w:cs="Arial"/>
                <w:sz w:val="20"/>
              </w:rPr>
            </w:pPr>
            <w:r w:rsidRPr="00F12C3C">
              <w:rPr>
                <w:rFonts w:cs="Arial"/>
                <w:sz w:val="20"/>
              </w:rPr>
              <w:t>bed side monitor</w:t>
            </w:r>
          </w:p>
        </w:tc>
        <w:tc>
          <w:tcPr>
            <w:tcW w:w="1134" w:type="dxa"/>
            <w:shd w:val="clear" w:color="auto" w:fill="E5DFEC" w:themeFill="accent4" w:themeFillTint="33"/>
          </w:tcPr>
          <w:p w14:paraId="284A564C" w14:textId="77777777" w:rsidR="004002DA" w:rsidRPr="00F12C3C" w:rsidRDefault="004002DA" w:rsidP="006F767C">
            <w:pPr>
              <w:spacing w:line="288" w:lineRule="auto"/>
              <w:jc w:val="right"/>
              <w:rPr>
                <w:rFonts w:cs="Arial"/>
                <w:sz w:val="20"/>
              </w:rPr>
            </w:pPr>
            <w:r w:rsidRPr="00F12C3C">
              <w:rPr>
                <w:rFonts w:cs="Arial"/>
                <w:sz w:val="20"/>
              </w:rPr>
              <w:t>85</w:t>
            </w:r>
          </w:p>
        </w:tc>
        <w:tc>
          <w:tcPr>
            <w:tcW w:w="1134" w:type="dxa"/>
            <w:shd w:val="clear" w:color="auto" w:fill="FDE9D9" w:themeFill="accent6" w:themeFillTint="33"/>
          </w:tcPr>
          <w:p w14:paraId="46DD63EC" w14:textId="77777777" w:rsidR="004002DA" w:rsidRPr="00F12C3C" w:rsidRDefault="004002DA" w:rsidP="006F767C">
            <w:pPr>
              <w:spacing w:line="288" w:lineRule="auto"/>
              <w:jc w:val="right"/>
              <w:rPr>
                <w:rFonts w:cs="Arial"/>
                <w:sz w:val="20"/>
              </w:rPr>
            </w:pPr>
            <w:r w:rsidRPr="00F12C3C">
              <w:rPr>
                <w:rFonts w:cs="Arial"/>
                <w:sz w:val="20"/>
              </w:rPr>
              <w:t>0</w:t>
            </w:r>
          </w:p>
        </w:tc>
      </w:tr>
      <w:tr w:rsidR="004002DA" w:rsidRPr="00F12C3C" w14:paraId="558A731A" w14:textId="77777777" w:rsidTr="004002DA">
        <w:trPr>
          <w:trHeight w:val="136"/>
        </w:trPr>
        <w:tc>
          <w:tcPr>
            <w:tcW w:w="988" w:type="dxa"/>
            <w:vMerge/>
          </w:tcPr>
          <w:p w14:paraId="154D7F80" w14:textId="77777777" w:rsidR="004002DA" w:rsidRPr="00F12C3C" w:rsidRDefault="004002DA" w:rsidP="006F767C">
            <w:pPr>
              <w:spacing w:line="288" w:lineRule="auto"/>
              <w:jc w:val="right"/>
              <w:rPr>
                <w:rFonts w:cs="Arial"/>
                <w:b/>
                <w:bCs/>
                <w:sz w:val="20"/>
              </w:rPr>
            </w:pPr>
          </w:p>
        </w:tc>
        <w:tc>
          <w:tcPr>
            <w:tcW w:w="2693" w:type="dxa"/>
            <w:vMerge/>
          </w:tcPr>
          <w:p w14:paraId="59211D2D" w14:textId="77777777" w:rsidR="004002DA" w:rsidRPr="00F12C3C" w:rsidRDefault="004002DA" w:rsidP="006F767C">
            <w:pPr>
              <w:spacing w:line="288" w:lineRule="auto"/>
              <w:jc w:val="right"/>
              <w:rPr>
                <w:rFonts w:cs="Arial"/>
                <w:sz w:val="20"/>
              </w:rPr>
            </w:pPr>
          </w:p>
        </w:tc>
        <w:tc>
          <w:tcPr>
            <w:tcW w:w="1701" w:type="dxa"/>
          </w:tcPr>
          <w:p w14:paraId="666932B8" w14:textId="77777777" w:rsidR="004002DA" w:rsidRPr="00F12C3C" w:rsidRDefault="004002DA" w:rsidP="006F767C">
            <w:pPr>
              <w:spacing w:line="288" w:lineRule="auto"/>
              <w:jc w:val="right"/>
              <w:rPr>
                <w:rFonts w:cs="Arial"/>
                <w:sz w:val="20"/>
              </w:rPr>
            </w:pPr>
            <w:r w:rsidRPr="00F12C3C">
              <w:rPr>
                <w:rFonts w:cs="Arial"/>
                <w:sz w:val="20"/>
              </w:rPr>
              <w:t>35,000</w:t>
            </w:r>
          </w:p>
        </w:tc>
        <w:tc>
          <w:tcPr>
            <w:tcW w:w="1701" w:type="dxa"/>
          </w:tcPr>
          <w:p w14:paraId="6CCBA1D8" w14:textId="77777777" w:rsidR="004002DA" w:rsidRPr="00F12C3C" w:rsidRDefault="004002DA" w:rsidP="006F767C">
            <w:pPr>
              <w:spacing w:line="288" w:lineRule="auto"/>
              <w:rPr>
                <w:rFonts w:cs="Arial"/>
                <w:sz w:val="20"/>
              </w:rPr>
            </w:pPr>
            <w:r w:rsidRPr="00F12C3C">
              <w:rPr>
                <w:rFonts w:cs="Arial"/>
                <w:sz w:val="20"/>
              </w:rPr>
              <w:t>ventilators</w:t>
            </w:r>
          </w:p>
        </w:tc>
        <w:tc>
          <w:tcPr>
            <w:tcW w:w="1134" w:type="dxa"/>
            <w:shd w:val="clear" w:color="auto" w:fill="E5DFEC" w:themeFill="accent4" w:themeFillTint="33"/>
          </w:tcPr>
          <w:p w14:paraId="5B0CD5FA" w14:textId="77777777" w:rsidR="004002DA" w:rsidRPr="00F12C3C" w:rsidRDefault="004002DA" w:rsidP="006F767C">
            <w:pPr>
              <w:spacing w:line="288" w:lineRule="auto"/>
              <w:jc w:val="right"/>
              <w:rPr>
                <w:rFonts w:cs="Arial"/>
                <w:sz w:val="20"/>
              </w:rPr>
            </w:pPr>
            <w:r w:rsidRPr="00F12C3C">
              <w:rPr>
                <w:rFonts w:cs="Arial"/>
                <w:sz w:val="20"/>
              </w:rPr>
              <w:t>18</w:t>
            </w:r>
          </w:p>
        </w:tc>
        <w:tc>
          <w:tcPr>
            <w:tcW w:w="1134" w:type="dxa"/>
            <w:shd w:val="clear" w:color="auto" w:fill="FDE9D9" w:themeFill="accent6" w:themeFillTint="33"/>
          </w:tcPr>
          <w:p w14:paraId="1679B110" w14:textId="77777777" w:rsidR="004002DA" w:rsidRPr="00F12C3C" w:rsidRDefault="004002DA" w:rsidP="006F767C">
            <w:pPr>
              <w:spacing w:line="288" w:lineRule="auto"/>
              <w:jc w:val="right"/>
              <w:rPr>
                <w:rFonts w:cs="Arial"/>
                <w:sz w:val="20"/>
              </w:rPr>
            </w:pPr>
            <w:r w:rsidRPr="00F12C3C">
              <w:rPr>
                <w:rFonts w:cs="Arial"/>
                <w:sz w:val="20"/>
              </w:rPr>
              <w:t>12</w:t>
            </w:r>
          </w:p>
        </w:tc>
      </w:tr>
    </w:tbl>
    <w:p w14:paraId="3B6E8071" w14:textId="77777777" w:rsidR="004002DA" w:rsidRPr="00010F93" w:rsidRDefault="004002DA" w:rsidP="004002DA">
      <w:pPr>
        <w:rPr>
          <w:sz w:val="20"/>
          <w:u w:val="single"/>
        </w:rPr>
      </w:pPr>
    </w:p>
    <w:p w14:paraId="19423A48" w14:textId="77777777" w:rsidR="004002DA" w:rsidRPr="00010F93" w:rsidRDefault="004002DA" w:rsidP="004002DA">
      <w:pPr>
        <w:rPr>
          <w:sz w:val="20"/>
          <w:u w:val="single"/>
        </w:rPr>
      </w:pPr>
    </w:p>
    <w:p w14:paraId="1CC29DB9" w14:textId="77777777" w:rsidR="004002DA" w:rsidRPr="00F12C3C" w:rsidRDefault="004002DA" w:rsidP="004002DA">
      <w:pPr>
        <w:rPr>
          <w:rFonts w:cs="Arial"/>
          <w:b/>
          <w:bCs/>
          <w:sz w:val="20"/>
          <w:u w:val="single"/>
          <w:lang w:val="en-US"/>
        </w:rPr>
      </w:pPr>
      <w:r w:rsidRPr="00F12C3C">
        <w:rPr>
          <w:rFonts w:cs="Arial"/>
          <w:b/>
          <w:bCs/>
          <w:sz w:val="20"/>
          <w:u w:val="single"/>
          <w:lang w:val="en-US"/>
        </w:rPr>
        <w:t xml:space="preserve">Output 1.2 - Response capacities of health workers strengthened  </w:t>
      </w:r>
    </w:p>
    <w:p w14:paraId="71297335" w14:textId="77777777" w:rsidR="004002DA" w:rsidRPr="00F12C3C" w:rsidRDefault="004002DA" w:rsidP="004002DA">
      <w:pPr>
        <w:rPr>
          <w:rFonts w:cs="Arial"/>
          <w:sz w:val="20"/>
          <w:lang w:val="en-US"/>
        </w:rPr>
      </w:pPr>
      <w:r w:rsidRPr="00F12C3C">
        <w:rPr>
          <w:rFonts w:cs="Arial"/>
          <w:sz w:val="20"/>
          <w:lang w:val="en-US"/>
        </w:rPr>
        <w:t xml:space="preserve">Following consultations with the MoH and WHO, the need to </w:t>
      </w:r>
      <w:proofErr w:type="spellStart"/>
      <w:r w:rsidRPr="00F12C3C">
        <w:rPr>
          <w:rFonts w:cs="Arial"/>
          <w:sz w:val="20"/>
          <w:lang w:val="en-US"/>
        </w:rPr>
        <w:t>prioritise</w:t>
      </w:r>
      <w:proofErr w:type="spellEnd"/>
      <w:r w:rsidRPr="00F12C3C">
        <w:rPr>
          <w:rFonts w:cs="Arial"/>
          <w:sz w:val="20"/>
          <w:lang w:val="en-US"/>
        </w:rPr>
        <w:t xml:space="preserve"> the deployment of health personnel in health facilities across the State of Palestine was highlighted. Due to the current financial crisis of the Palestinian government and inability to pay salaries of staff, the human resources gap in this sector is estimated at 1,500. </w:t>
      </w:r>
    </w:p>
    <w:p w14:paraId="5E35B083" w14:textId="77777777" w:rsidR="004002DA" w:rsidRPr="00F12C3C" w:rsidRDefault="004002DA" w:rsidP="004002DA">
      <w:pPr>
        <w:rPr>
          <w:rFonts w:cs="Arial"/>
          <w:sz w:val="20"/>
          <w:lang w:val="en-US"/>
        </w:rPr>
      </w:pPr>
      <w:r w:rsidRPr="00F12C3C">
        <w:rPr>
          <w:rFonts w:cs="Arial"/>
          <w:sz w:val="20"/>
          <w:lang w:val="en-US"/>
        </w:rPr>
        <w:t xml:space="preserve">Moreover, given the latest increase in numbers of individuals who have contracted COVID-19 in Palestine, the MoH highlighted the importance of extending the period of placement of health personnel </w:t>
      </w:r>
      <w:r w:rsidRPr="00F12C3C">
        <w:rPr>
          <w:rFonts w:cs="Arial"/>
          <w:sz w:val="20"/>
          <w:lang w:val="en-US"/>
        </w:rPr>
        <w:lastRenderedPageBreak/>
        <w:t xml:space="preserve">to up to 12 months to ensure sustained operation of the health facilities during the crisis. According to the MoH, currently there is a pool of 650 health personnel available for immediate deployment. </w:t>
      </w:r>
    </w:p>
    <w:p w14:paraId="4CC17FF5" w14:textId="77777777" w:rsidR="004002DA" w:rsidRPr="00F12C3C" w:rsidRDefault="004002DA" w:rsidP="004002DA">
      <w:pPr>
        <w:rPr>
          <w:rFonts w:cs="Arial"/>
          <w:sz w:val="20"/>
          <w:lang w:val="en-US"/>
        </w:rPr>
      </w:pPr>
      <w:r w:rsidRPr="00F12C3C">
        <w:rPr>
          <w:rFonts w:cs="Arial"/>
          <w:sz w:val="20"/>
          <w:lang w:val="en-US"/>
        </w:rPr>
        <w:t>In light of the evolving situation on the ground and the sudden increase in the number of cases in the West Bank, and given the limited resources allocated thus far to support the response in the West Bank, vis-à-vis the partial funding secured for Gaza through other sources, the following approach is proposed for Activity 1.2.1:</w:t>
      </w:r>
    </w:p>
    <w:p w14:paraId="3656C933" w14:textId="77777777" w:rsidR="004002DA" w:rsidRPr="00F12C3C" w:rsidRDefault="004002DA" w:rsidP="002A6590">
      <w:pPr>
        <w:pStyle w:val="ListParagraph"/>
        <w:numPr>
          <w:ilvl w:val="0"/>
          <w:numId w:val="28"/>
        </w:numPr>
        <w:spacing w:after="160" w:line="259" w:lineRule="auto"/>
        <w:jc w:val="both"/>
        <w:rPr>
          <w:rFonts w:cs="Arial"/>
          <w:sz w:val="20"/>
          <w:lang w:val="en-US"/>
        </w:rPr>
      </w:pPr>
      <w:r w:rsidRPr="00F12C3C">
        <w:rPr>
          <w:rFonts w:cs="Arial"/>
          <w:sz w:val="20"/>
          <w:lang w:val="en-US"/>
        </w:rPr>
        <w:t xml:space="preserve">Through the 10 million EUR contribution, deployment of health personnel in Gaza will be </w:t>
      </w:r>
      <w:proofErr w:type="spellStart"/>
      <w:r w:rsidRPr="00F12C3C">
        <w:rPr>
          <w:rFonts w:cs="Arial"/>
          <w:sz w:val="20"/>
          <w:lang w:val="en-US"/>
        </w:rPr>
        <w:t>prioritised</w:t>
      </w:r>
      <w:proofErr w:type="spellEnd"/>
      <w:r w:rsidRPr="00F12C3C">
        <w:rPr>
          <w:rFonts w:cs="Arial"/>
          <w:sz w:val="20"/>
          <w:lang w:val="en-US"/>
        </w:rPr>
        <w:t xml:space="preserve">; 350 individuals will be deployed for a period of 6 months, complementing ongoing deployment through other funding sources; </w:t>
      </w:r>
    </w:p>
    <w:p w14:paraId="3A717249" w14:textId="77777777" w:rsidR="004002DA" w:rsidRPr="00F12C3C" w:rsidRDefault="004002DA" w:rsidP="002A6590">
      <w:pPr>
        <w:pStyle w:val="ListParagraph"/>
        <w:numPr>
          <w:ilvl w:val="0"/>
          <w:numId w:val="28"/>
        </w:numPr>
        <w:spacing w:after="160" w:line="259" w:lineRule="auto"/>
        <w:jc w:val="both"/>
        <w:rPr>
          <w:rFonts w:cs="Arial"/>
          <w:sz w:val="20"/>
          <w:lang w:val="en-US"/>
        </w:rPr>
      </w:pPr>
      <w:r w:rsidRPr="00F12C3C">
        <w:rPr>
          <w:rFonts w:cs="Arial"/>
          <w:sz w:val="20"/>
          <w:lang w:val="en-US"/>
        </w:rPr>
        <w:t xml:space="preserve">Through the additional 7 million EUR contribution, deployment of health personnel in the West Bank will be </w:t>
      </w:r>
      <w:proofErr w:type="spellStart"/>
      <w:r w:rsidRPr="00F12C3C">
        <w:rPr>
          <w:rFonts w:cs="Arial"/>
          <w:sz w:val="20"/>
          <w:lang w:val="en-US"/>
        </w:rPr>
        <w:t>prioritised</w:t>
      </w:r>
      <w:proofErr w:type="spellEnd"/>
      <w:r w:rsidRPr="00F12C3C">
        <w:rPr>
          <w:rFonts w:cs="Arial"/>
          <w:sz w:val="20"/>
          <w:lang w:val="en-US"/>
        </w:rPr>
        <w:t xml:space="preserve">; 336 individuals will be deployed for a period of up to 12 months; and </w:t>
      </w:r>
    </w:p>
    <w:p w14:paraId="2D3A1C4F" w14:textId="77777777" w:rsidR="004002DA" w:rsidRPr="00F12C3C" w:rsidRDefault="004002DA" w:rsidP="002A6590">
      <w:pPr>
        <w:pStyle w:val="ListParagraph"/>
        <w:numPr>
          <w:ilvl w:val="0"/>
          <w:numId w:val="28"/>
        </w:numPr>
        <w:spacing w:after="160" w:line="259" w:lineRule="auto"/>
        <w:jc w:val="both"/>
        <w:rPr>
          <w:rFonts w:cs="Arial"/>
          <w:sz w:val="20"/>
          <w:lang w:val="en-US"/>
        </w:rPr>
      </w:pPr>
      <w:r w:rsidRPr="00F12C3C">
        <w:rPr>
          <w:rFonts w:cs="Arial"/>
          <w:sz w:val="20"/>
          <w:lang w:val="en-US"/>
        </w:rPr>
        <w:t xml:space="preserve">Regarding the unit rate for the 336 individuals to be deployed in the West Bank under the additional 7 million EUR contribution, the average rate was increased  to reflect the salary scale of </w:t>
      </w:r>
      <w:proofErr w:type="spellStart"/>
      <w:r w:rsidRPr="00F12C3C">
        <w:rPr>
          <w:rFonts w:cs="Arial"/>
          <w:sz w:val="20"/>
          <w:lang w:val="en-US"/>
        </w:rPr>
        <w:t>specialised</w:t>
      </w:r>
      <w:proofErr w:type="spellEnd"/>
      <w:r w:rsidRPr="00F12C3C">
        <w:rPr>
          <w:rFonts w:cs="Arial"/>
          <w:sz w:val="20"/>
          <w:lang w:val="en-US"/>
        </w:rPr>
        <w:t xml:space="preserve"> health personnel to be deployed, and to take into account the higher living costs in the West Bank compared to Gaza. </w:t>
      </w:r>
    </w:p>
    <w:p w14:paraId="295CC89C" w14:textId="77777777" w:rsidR="004002DA" w:rsidRPr="00F12C3C" w:rsidRDefault="004002DA" w:rsidP="004002DA">
      <w:pPr>
        <w:rPr>
          <w:rFonts w:cs="Arial"/>
          <w:sz w:val="20"/>
          <w:lang w:val="en-US"/>
        </w:rPr>
      </w:pPr>
      <w:r w:rsidRPr="00F12C3C">
        <w:rPr>
          <w:rFonts w:cs="Arial"/>
          <w:sz w:val="20"/>
          <w:lang w:val="en-US"/>
        </w:rPr>
        <w:t>With regards to the deployment of skilled/unskilled workers under Activity 1.2.2, the following is proposed:</w:t>
      </w:r>
    </w:p>
    <w:p w14:paraId="6788CE34" w14:textId="77777777" w:rsidR="004002DA" w:rsidRPr="00F12C3C" w:rsidRDefault="004002DA" w:rsidP="002A6590">
      <w:pPr>
        <w:pStyle w:val="ListParagraph"/>
        <w:numPr>
          <w:ilvl w:val="0"/>
          <w:numId w:val="28"/>
        </w:numPr>
        <w:spacing w:after="160" w:line="259" w:lineRule="auto"/>
        <w:jc w:val="both"/>
        <w:rPr>
          <w:rFonts w:cs="Arial"/>
          <w:sz w:val="20"/>
          <w:lang w:val="en-US"/>
        </w:rPr>
      </w:pPr>
      <w:r w:rsidRPr="00F12C3C">
        <w:rPr>
          <w:rFonts w:cs="Arial"/>
          <w:sz w:val="20"/>
          <w:lang w:val="en-US"/>
        </w:rPr>
        <w:t xml:space="preserve">Through the 10 million EUR contribution, deployment of workers in Gaza will be </w:t>
      </w:r>
      <w:proofErr w:type="spellStart"/>
      <w:r w:rsidRPr="00F12C3C">
        <w:rPr>
          <w:rFonts w:cs="Arial"/>
          <w:sz w:val="20"/>
          <w:lang w:val="en-US"/>
        </w:rPr>
        <w:t>prioritised</w:t>
      </w:r>
      <w:proofErr w:type="spellEnd"/>
      <w:r w:rsidRPr="00F12C3C">
        <w:rPr>
          <w:rFonts w:cs="Arial"/>
          <w:sz w:val="20"/>
          <w:lang w:val="en-US"/>
        </w:rPr>
        <w:t>; 200 workers will be deployed for a period of 3 months complementing ongoing deployment through other funding sources; and</w:t>
      </w:r>
    </w:p>
    <w:p w14:paraId="065B9050" w14:textId="77777777" w:rsidR="004002DA" w:rsidRPr="00F12C3C" w:rsidRDefault="004002DA" w:rsidP="002A6590">
      <w:pPr>
        <w:pStyle w:val="ListParagraph"/>
        <w:numPr>
          <w:ilvl w:val="0"/>
          <w:numId w:val="28"/>
        </w:numPr>
        <w:spacing w:after="160" w:line="259" w:lineRule="auto"/>
        <w:jc w:val="both"/>
        <w:rPr>
          <w:rFonts w:cs="Arial"/>
          <w:sz w:val="20"/>
          <w:lang w:val="en-US"/>
        </w:rPr>
      </w:pPr>
      <w:r w:rsidRPr="00F12C3C">
        <w:rPr>
          <w:rFonts w:cs="Arial"/>
          <w:sz w:val="20"/>
          <w:lang w:val="en-US"/>
        </w:rPr>
        <w:t xml:space="preserve">Through the 7 million EUR contribution, deployment of workers in the West Bank will be </w:t>
      </w:r>
      <w:proofErr w:type="spellStart"/>
      <w:r w:rsidRPr="00F12C3C">
        <w:rPr>
          <w:rFonts w:cs="Arial"/>
          <w:sz w:val="20"/>
          <w:lang w:val="en-US"/>
        </w:rPr>
        <w:t>prioritised</w:t>
      </w:r>
      <w:proofErr w:type="spellEnd"/>
      <w:r w:rsidRPr="00F12C3C">
        <w:rPr>
          <w:rFonts w:cs="Arial"/>
          <w:sz w:val="20"/>
          <w:lang w:val="en-US"/>
        </w:rPr>
        <w:t xml:space="preserve">; 305 workers will be deployed for a period of up to 12 months; they will be deployed partially in health facilities, and partially in support of the MoH efforts geared towards reopening of schools and re-activation of the Al </w:t>
      </w:r>
      <w:proofErr w:type="spellStart"/>
      <w:r w:rsidRPr="00F12C3C">
        <w:rPr>
          <w:rFonts w:cs="Arial"/>
          <w:sz w:val="20"/>
          <w:lang w:val="en-US"/>
        </w:rPr>
        <w:t>Karamah</w:t>
      </w:r>
      <w:proofErr w:type="spellEnd"/>
      <w:r w:rsidRPr="00F12C3C">
        <w:rPr>
          <w:rFonts w:cs="Arial"/>
          <w:sz w:val="20"/>
          <w:lang w:val="en-US"/>
        </w:rPr>
        <w:t xml:space="preserve"> border crossing. </w:t>
      </w:r>
    </w:p>
    <w:p w14:paraId="01BC045D" w14:textId="77777777" w:rsidR="004002DA" w:rsidRPr="00F12C3C" w:rsidRDefault="004002DA" w:rsidP="002A6590">
      <w:pPr>
        <w:pStyle w:val="ListParagraph"/>
        <w:numPr>
          <w:ilvl w:val="0"/>
          <w:numId w:val="28"/>
        </w:numPr>
        <w:spacing w:after="160" w:line="259" w:lineRule="auto"/>
        <w:jc w:val="both"/>
        <w:rPr>
          <w:rFonts w:cs="Arial"/>
          <w:sz w:val="20"/>
          <w:lang w:val="en-US"/>
        </w:rPr>
      </w:pPr>
      <w:r w:rsidRPr="00F12C3C">
        <w:rPr>
          <w:rFonts w:cs="Arial"/>
          <w:sz w:val="20"/>
          <w:lang w:val="en-US"/>
        </w:rPr>
        <w:t>For activity 1.2.3, no additional investment is required for training of health personnel, which will be covered by the 10 million EUR contribution.</w:t>
      </w:r>
    </w:p>
    <w:p w14:paraId="25001936" w14:textId="77777777" w:rsidR="004002DA" w:rsidRPr="00F12C3C" w:rsidRDefault="004002DA" w:rsidP="004002DA">
      <w:pPr>
        <w:pStyle w:val="ListParagraph"/>
        <w:rPr>
          <w:rFonts w:cs="Arial"/>
          <w:sz w:val="20"/>
          <w:lang w:val="en-US"/>
        </w:rPr>
      </w:pPr>
    </w:p>
    <w:tbl>
      <w:tblPr>
        <w:tblStyle w:val="TableGrid"/>
        <w:tblW w:w="9930" w:type="dxa"/>
        <w:tblLook w:val="04A0" w:firstRow="1" w:lastRow="0" w:firstColumn="1" w:lastColumn="0" w:noHBand="0" w:noVBand="1"/>
      </w:tblPr>
      <w:tblGrid>
        <w:gridCol w:w="939"/>
        <w:gridCol w:w="1095"/>
        <w:gridCol w:w="941"/>
        <w:gridCol w:w="2197"/>
        <w:gridCol w:w="722"/>
        <w:gridCol w:w="1058"/>
        <w:gridCol w:w="2261"/>
        <w:gridCol w:w="717"/>
      </w:tblGrid>
      <w:tr w:rsidR="004002DA" w:rsidRPr="00F12C3C" w14:paraId="48888816" w14:textId="77777777" w:rsidTr="004002DA">
        <w:trPr>
          <w:trHeight w:val="208"/>
        </w:trPr>
        <w:tc>
          <w:tcPr>
            <w:tcW w:w="1874" w:type="dxa"/>
            <w:gridSpan w:val="2"/>
            <w:shd w:val="clear" w:color="auto" w:fill="DDD9C3" w:themeFill="background2" w:themeFillShade="E6"/>
          </w:tcPr>
          <w:p w14:paraId="0FD3F3A8" w14:textId="77777777" w:rsidR="004002DA" w:rsidRPr="00F12C3C" w:rsidRDefault="004002DA" w:rsidP="004002DA">
            <w:pPr>
              <w:rPr>
                <w:rFonts w:cs="Arial"/>
                <w:b/>
                <w:bCs/>
                <w:sz w:val="20"/>
              </w:rPr>
            </w:pPr>
            <w:r w:rsidRPr="00F12C3C">
              <w:rPr>
                <w:rFonts w:cs="Arial"/>
                <w:b/>
                <w:bCs/>
                <w:sz w:val="20"/>
              </w:rPr>
              <w:t>Output 1.2</w:t>
            </w:r>
          </w:p>
        </w:tc>
        <w:tc>
          <w:tcPr>
            <w:tcW w:w="956" w:type="dxa"/>
            <w:shd w:val="clear" w:color="auto" w:fill="E5DFEC" w:themeFill="accent4" w:themeFillTint="33"/>
          </w:tcPr>
          <w:p w14:paraId="51371FA4" w14:textId="77777777" w:rsidR="004002DA" w:rsidRPr="00F12C3C" w:rsidRDefault="004002DA" w:rsidP="004002DA">
            <w:pPr>
              <w:rPr>
                <w:rFonts w:cs="Arial"/>
                <w:b/>
                <w:bCs/>
                <w:sz w:val="20"/>
              </w:rPr>
            </w:pPr>
          </w:p>
        </w:tc>
        <w:tc>
          <w:tcPr>
            <w:tcW w:w="2998" w:type="dxa"/>
            <w:gridSpan w:val="2"/>
            <w:shd w:val="clear" w:color="auto" w:fill="E5DFEC" w:themeFill="accent4" w:themeFillTint="33"/>
          </w:tcPr>
          <w:p w14:paraId="4AC5A57A" w14:textId="77777777" w:rsidR="004002DA" w:rsidRPr="00F12C3C" w:rsidRDefault="004002DA" w:rsidP="004002DA">
            <w:pPr>
              <w:rPr>
                <w:rFonts w:cs="Arial"/>
                <w:b/>
                <w:bCs/>
                <w:sz w:val="20"/>
              </w:rPr>
            </w:pPr>
            <w:r w:rsidRPr="00F12C3C">
              <w:rPr>
                <w:rFonts w:cs="Arial"/>
                <w:b/>
                <w:bCs/>
                <w:sz w:val="20"/>
              </w:rPr>
              <w:t>10 million EUR</w:t>
            </w:r>
          </w:p>
        </w:tc>
        <w:tc>
          <w:tcPr>
            <w:tcW w:w="1084" w:type="dxa"/>
            <w:shd w:val="clear" w:color="auto" w:fill="FDE9D9" w:themeFill="accent6" w:themeFillTint="33"/>
          </w:tcPr>
          <w:p w14:paraId="1B6A1D6D" w14:textId="77777777" w:rsidR="004002DA" w:rsidRPr="00F12C3C" w:rsidRDefault="004002DA" w:rsidP="004002DA">
            <w:pPr>
              <w:rPr>
                <w:rFonts w:cs="Arial"/>
                <w:b/>
                <w:bCs/>
                <w:sz w:val="20"/>
              </w:rPr>
            </w:pPr>
          </w:p>
        </w:tc>
        <w:tc>
          <w:tcPr>
            <w:tcW w:w="3018" w:type="dxa"/>
            <w:gridSpan w:val="2"/>
            <w:shd w:val="clear" w:color="auto" w:fill="FDE9D9" w:themeFill="accent6" w:themeFillTint="33"/>
          </w:tcPr>
          <w:p w14:paraId="50F7ABD9" w14:textId="77777777" w:rsidR="004002DA" w:rsidRPr="00F12C3C" w:rsidRDefault="004002DA" w:rsidP="004002DA">
            <w:pPr>
              <w:rPr>
                <w:rFonts w:cs="Arial"/>
                <w:b/>
                <w:bCs/>
                <w:sz w:val="20"/>
              </w:rPr>
            </w:pPr>
            <w:r w:rsidRPr="00F12C3C">
              <w:rPr>
                <w:rFonts w:cs="Arial"/>
                <w:b/>
                <w:bCs/>
                <w:sz w:val="20"/>
              </w:rPr>
              <w:t>7 million EUR</w:t>
            </w:r>
          </w:p>
        </w:tc>
      </w:tr>
      <w:tr w:rsidR="004002DA" w:rsidRPr="00F12C3C" w14:paraId="0F1DD7BF" w14:textId="77777777" w:rsidTr="004002DA">
        <w:trPr>
          <w:trHeight w:val="208"/>
        </w:trPr>
        <w:tc>
          <w:tcPr>
            <w:tcW w:w="867" w:type="dxa"/>
          </w:tcPr>
          <w:p w14:paraId="38D98F2E" w14:textId="77777777" w:rsidR="004002DA" w:rsidRPr="00F12C3C" w:rsidRDefault="004002DA" w:rsidP="004002DA">
            <w:pPr>
              <w:rPr>
                <w:rFonts w:cs="Arial"/>
                <w:b/>
                <w:bCs/>
                <w:sz w:val="20"/>
              </w:rPr>
            </w:pPr>
            <w:r w:rsidRPr="00F12C3C">
              <w:rPr>
                <w:rFonts w:cs="Arial"/>
                <w:b/>
                <w:bCs/>
                <w:sz w:val="20"/>
              </w:rPr>
              <w:t>Activity</w:t>
            </w:r>
          </w:p>
        </w:tc>
        <w:tc>
          <w:tcPr>
            <w:tcW w:w="1007" w:type="dxa"/>
          </w:tcPr>
          <w:p w14:paraId="0D56B3BA" w14:textId="77777777" w:rsidR="004002DA" w:rsidRPr="00F12C3C" w:rsidRDefault="004002DA" w:rsidP="004002DA">
            <w:pPr>
              <w:rPr>
                <w:rFonts w:cs="Arial"/>
                <w:b/>
                <w:bCs/>
                <w:sz w:val="20"/>
              </w:rPr>
            </w:pPr>
            <w:r w:rsidRPr="00F12C3C">
              <w:rPr>
                <w:rFonts w:cs="Arial"/>
                <w:b/>
                <w:bCs/>
                <w:sz w:val="20"/>
              </w:rPr>
              <w:t>Unit#</w:t>
            </w:r>
          </w:p>
        </w:tc>
        <w:tc>
          <w:tcPr>
            <w:tcW w:w="956" w:type="dxa"/>
            <w:shd w:val="clear" w:color="auto" w:fill="E5DFEC" w:themeFill="accent4" w:themeFillTint="33"/>
          </w:tcPr>
          <w:p w14:paraId="52399C25" w14:textId="77777777" w:rsidR="004002DA" w:rsidRPr="00F12C3C" w:rsidRDefault="004002DA" w:rsidP="004002DA">
            <w:pPr>
              <w:jc w:val="right"/>
              <w:rPr>
                <w:rFonts w:cs="Arial"/>
                <w:b/>
                <w:bCs/>
                <w:sz w:val="20"/>
              </w:rPr>
            </w:pPr>
            <w:r w:rsidRPr="00F12C3C">
              <w:rPr>
                <w:rFonts w:cs="Arial"/>
                <w:b/>
                <w:bCs/>
                <w:sz w:val="20"/>
              </w:rPr>
              <w:t>Unit rate (EUR)</w:t>
            </w:r>
          </w:p>
        </w:tc>
        <w:tc>
          <w:tcPr>
            <w:tcW w:w="2276" w:type="dxa"/>
            <w:shd w:val="clear" w:color="auto" w:fill="E5DFEC" w:themeFill="accent4" w:themeFillTint="33"/>
          </w:tcPr>
          <w:p w14:paraId="07280C6A" w14:textId="77777777" w:rsidR="004002DA" w:rsidRPr="00F12C3C" w:rsidRDefault="004002DA" w:rsidP="004002DA">
            <w:pPr>
              <w:rPr>
                <w:rFonts w:cs="Arial"/>
                <w:b/>
                <w:bCs/>
                <w:sz w:val="20"/>
              </w:rPr>
            </w:pPr>
            <w:r w:rsidRPr="00F12C3C">
              <w:rPr>
                <w:rFonts w:cs="Arial"/>
                <w:b/>
                <w:bCs/>
                <w:sz w:val="20"/>
              </w:rPr>
              <w:t>Description</w:t>
            </w:r>
          </w:p>
        </w:tc>
        <w:tc>
          <w:tcPr>
            <w:tcW w:w="722" w:type="dxa"/>
            <w:shd w:val="clear" w:color="auto" w:fill="E5DFEC" w:themeFill="accent4" w:themeFillTint="33"/>
          </w:tcPr>
          <w:p w14:paraId="2670F13C" w14:textId="77777777" w:rsidR="004002DA" w:rsidRPr="00F12C3C" w:rsidRDefault="004002DA" w:rsidP="004002DA">
            <w:pPr>
              <w:jc w:val="right"/>
              <w:rPr>
                <w:rFonts w:cs="Arial"/>
                <w:b/>
                <w:bCs/>
                <w:sz w:val="20"/>
              </w:rPr>
            </w:pPr>
            <w:r w:rsidRPr="00F12C3C">
              <w:rPr>
                <w:rFonts w:cs="Arial"/>
                <w:b/>
                <w:bCs/>
                <w:sz w:val="20"/>
              </w:rPr>
              <w:t>Unit#</w:t>
            </w:r>
          </w:p>
        </w:tc>
        <w:tc>
          <w:tcPr>
            <w:tcW w:w="1084" w:type="dxa"/>
            <w:shd w:val="clear" w:color="auto" w:fill="FDE9D9" w:themeFill="accent6" w:themeFillTint="33"/>
          </w:tcPr>
          <w:p w14:paraId="55E36383" w14:textId="77777777" w:rsidR="004002DA" w:rsidRPr="00F12C3C" w:rsidRDefault="004002DA" w:rsidP="004002DA">
            <w:pPr>
              <w:jc w:val="right"/>
              <w:rPr>
                <w:rFonts w:cs="Arial"/>
                <w:b/>
                <w:bCs/>
                <w:sz w:val="20"/>
              </w:rPr>
            </w:pPr>
            <w:r w:rsidRPr="00F12C3C">
              <w:rPr>
                <w:rFonts w:cs="Arial"/>
                <w:b/>
                <w:bCs/>
                <w:sz w:val="20"/>
              </w:rPr>
              <w:t>Unit rate (EUR)</w:t>
            </w:r>
          </w:p>
        </w:tc>
        <w:tc>
          <w:tcPr>
            <w:tcW w:w="2346" w:type="dxa"/>
            <w:shd w:val="clear" w:color="auto" w:fill="FDE9D9" w:themeFill="accent6" w:themeFillTint="33"/>
          </w:tcPr>
          <w:p w14:paraId="0F6D74D4" w14:textId="77777777" w:rsidR="004002DA" w:rsidRPr="00F12C3C" w:rsidRDefault="004002DA" w:rsidP="004002DA">
            <w:pPr>
              <w:rPr>
                <w:rFonts w:cs="Arial"/>
                <w:b/>
                <w:bCs/>
                <w:sz w:val="20"/>
              </w:rPr>
            </w:pPr>
            <w:r w:rsidRPr="00F12C3C">
              <w:rPr>
                <w:rFonts w:cs="Arial"/>
                <w:b/>
                <w:bCs/>
                <w:sz w:val="20"/>
              </w:rPr>
              <w:t>Description</w:t>
            </w:r>
          </w:p>
        </w:tc>
        <w:tc>
          <w:tcPr>
            <w:tcW w:w="672" w:type="dxa"/>
            <w:shd w:val="clear" w:color="auto" w:fill="FDE9D9" w:themeFill="accent6" w:themeFillTint="33"/>
          </w:tcPr>
          <w:p w14:paraId="7527B37E" w14:textId="77777777" w:rsidR="004002DA" w:rsidRPr="00F12C3C" w:rsidRDefault="004002DA" w:rsidP="004002DA">
            <w:pPr>
              <w:jc w:val="right"/>
              <w:rPr>
                <w:rFonts w:cs="Arial"/>
                <w:b/>
                <w:bCs/>
                <w:sz w:val="20"/>
              </w:rPr>
            </w:pPr>
            <w:r w:rsidRPr="00F12C3C">
              <w:rPr>
                <w:rFonts w:cs="Arial"/>
                <w:b/>
                <w:bCs/>
                <w:sz w:val="20"/>
              </w:rPr>
              <w:t>Unit #</w:t>
            </w:r>
          </w:p>
        </w:tc>
      </w:tr>
      <w:tr w:rsidR="004002DA" w:rsidRPr="00F12C3C" w14:paraId="1B2EB734" w14:textId="77777777" w:rsidTr="004002DA">
        <w:trPr>
          <w:trHeight w:val="496"/>
        </w:trPr>
        <w:tc>
          <w:tcPr>
            <w:tcW w:w="867" w:type="dxa"/>
          </w:tcPr>
          <w:p w14:paraId="06EA6E51" w14:textId="77777777" w:rsidR="004002DA" w:rsidRPr="00F12C3C" w:rsidRDefault="004002DA" w:rsidP="004002DA">
            <w:pPr>
              <w:rPr>
                <w:rFonts w:cs="Arial"/>
                <w:sz w:val="20"/>
              </w:rPr>
            </w:pPr>
            <w:r w:rsidRPr="00F12C3C">
              <w:rPr>
                <w:rFonts w:cs="Arial"/>
                <w:b/>
                <w:bCs/>
                <w:sz w:val="20"/>
              </w:rPr>
              <w:t>Activity 1.2.1</w:t>
            </w:r>
          </w:p>
        </w:tc>
        <w:tc>
          <w:tcPr>
            <w:tcW w:w="1007" w:type="dxa"/>
          </w:tcPr>
          <w:p w14:paraId="6A96C82E" w14:textId="77777777" w:rsidR="004002DA" w:rsidRPr="00F12C3C" w:rsidRDefault="004002DA" w:rsidP="004002DA">
            <w:pPr>
              <w:rPr>
                <w:rFonts w:cs="Arial"/>
                <w:sz w:val="20"/>
              </w:rPr>
            </w:pPr>
            <w:r w:rsidRPr="00F12C3C">
              <w:rPr>
                <w:rFonts w:cs="Arial"/>
                <w:sz w:val="20"/>
              </w:rPr>
              <w:t>Month</w:t>
            </w:r>
          </w:p>
        </w:tc>
        <w:tc>
          <w:tcPr>
            <w:tcW w:w="956" w:type="dxa"/>
            <w:shd w:val="clear" w:color="auto" w:fill="E5DFEC" w:themeFill="accent4" w:themeFillTint="33"/>
          </w:tcPr>
          <w:p w14:paraId="358A73BD" w14:textId="77777777" w:rsidR="004002DA" w:rsidRPr="00F12C3C" w:rsidRDefault="004002DA" w:rsidP="004002DA">
            <w:pPr>
              <w:jc w:val="right"/>
              <w:rPr>
                <w:rFonts w:cs="Arial"/>
                <w:sz w:val="20"/>
              </w:rPr>
            </w:pPr>
            <w:r w:rsidRPr="00F12C3C">
              <w:rPr>
                <w:rFonts w:cs="Arial"/>
                <w:sz w:val="20"/>
              </w:rPr>
              <w:t>560</w:t>
            </w:r>
          </w:p>
        </w:tc>
        <w:tc>
          <w:tcPr>
            <w:tcW w:w="2276" w:type="dxa"/>
            <w:shd w:val="clear" w:color="auto" w:fill="E5DFEC" w:themeFill="accent4" w:themeFillTint="33"/>
          </w:tcPr>
          <w:p w14:paraId="1B86EA23" w14:textId="77777777" w:rsidR="004002DA" w:rsidRPr="00F12C3C" w:rsidRDefault="004002DA" w:rsidP="004002DA">
            <w:pPr>
              <w:rPr>
                <w:rFonts w:cs="Arial"/>
                <w:sz w:val="20"/>
                <w:lang w:val="en-US"/>
              </w:rPr>
            </w:pPr>
            <w:r w:rsidRPr="00F12C3C">
              <w:rPr>
                <w:rFonts w:cs="Arial"/>
                <w:sz w:val="20"/>
                <w:lang w:val="en-US"/>
              </w:rPr>
              <w:t xml:space="preserve">Job placement for </w:t>
            </w:r>
            <w:r w:rsidRPr="00F12C3C">
              <w:rPr>
                <w:rFonts w:cs="Arial"/>
                <w:b/>
                <w:bCs/>
                <w:sz w:val="20"/>
                <w:lang w:val="en-US"/>
              </w:rPr>
              <w:t xml:space="preserve">350 </w:t>
            </w:r>
            <w:r w:rsidRPr="00F12C3C">
              <w:rPr>
                <w:rFonts w:cs="Arial"/>
                <w:sz w:val="20"/>
                <w:lang w:val="en-US"/>
              </w:rPr>
              <w:t>health personnel for</w:t>
            </w:r>
            <w:r w:rsidRPr="00F12C3C">
              <w:rPr>
                <w:rFonts w:cs="Arial"/>
                <w:b/>
                <w:bCs/>
                <w:sz w:val="20"/>
                <w:lang w:val="en-US"/>
              </w:rPr>
              <w:t xml:space="preserve"> 6 months (Gaza)</w:t>
            </w:r>
          </w:p>
        </w:tc>
        <w:tc>
          <w:tcPr>
            <w:tcW w:w="722" w:type="dxa"/>
            <w:shd w:val="clear" w:color="auto" w:fill="E5DFEC" w:themeFill="accent4" w:themeFillTint="33"/>
          </w:tcPr>
          <w:p w14:paraId="21D0F757" w14:textId="77777777" w:rsidR="004002DA" w:rsidRPr="00F12C3C" w:rsidRDefault="004002DA" w:rsidP="004002DA">
            <w:pPr>
              <w:jc w:val="right"/>
              <w:rPr>
                <w:rFonts w:cs="Arial"/>
                <w:sz w:val="20"/>
              </w:rPr>
            </w:pPr>
            <w:r w:rsidRPr="00F12C3C">
              <w:rPr>
                <w:rFonts w:cs="Arial"/>
                <w:sz w:val="20"/>
              </w:rPr>
              <w:t>2,100</w:t>
            </w:r>
          </w:p>
        </w:tc>
        <w:tc>
          <w:tcPr>
            <w:tcW w:w="1084" w:type="dxa"/>
            <w:shd w:val="clear" w:color="auto" w:fill="FDE9D9" w:themeFill="accent6" w:themeFillTint="33"/>
          </w:tcPr>
          <w:p w14:paraId="68AD880A" w14:textId="77777777" w:rsidR="004002DA" w:rsidRPr="00F12C3C" w:rsidRDefault="004002DA" w:rsidP="004002DA">
            <w:pPr>
              <w:jc w:val="right"/>
              <w:rPr>
                <w:rFonts w:cs="Arial"/>
                <w:sz w:val="20"/>
              </w:rPr>
            </w:pPr>
            <w:r w:rsidRPr="00F12C3C">
              <w:rPr>
                <w:rFonts w:cs="Arial"/>
                <w:sz w:val="20"/>
              </w:rPr>
              <w:t>850</w:t>
            </w:r>
          </w:p>
        </w:tc>
        <w:tc>
          <w:tcPr>
            <w:tcW w:w="2346" w:type="dxa"/>
            <w:shd w:val="clear" w:color="auto" w:fill="FDE9D9" w:themeFill="accent6" w:themeFillTint="33"/>
          </w:tcPr>
          <w:p w14:paraId="6448D3C1" w14:textId="77777777" w:rsidR="004002DA" w:rsidRPr="00F12C3C" w:rsidRDefault="004002DA" w:rsidP="004002DA">
            <w:pPr>
              <w:rPr>
                <w:rFonts w:cs="Arial"/>
                <w:sz w:val="20"/>
                <w:lang w:val="en-US"/>
              </w:rPr>
            </w:pPr>
            <w:r w:rsidRPr="00F12C3C">
              <w:rPr>
                <w:rFonts w:cs="Arial"/>
                <w:sz w:val="20"/>
                <w:lang w:val="en-US"/>
              </w:rPr>
              <w:t xml:space="preserve">Job placement for </w:t>
            </w:r>
            <w:r w:rsidRPr="00F12C3C">
              <w:rPr>
                <w:rFonts w:cs="Arial"/>
                <w:b/>
                <w:bCs/>
                <w:sz w:val="20"/>
                <w:lang w:val="en-US"/>
              </w:rPr>
              <w:t xml:space="preserve">355 </w:t>
            </w:r>
            <w:r w:rsidRPr="00F12C3C">
              <w:rPr>
                <w:rFonts w:cs="Arial"/>
                <w:sz w:val="20"/>
                <w:lang w:val="en-US"/>
              </w:rPr>
              <w:t>health personnel for up to</w:t>
            </w:r>
            <w:r w:rsidRPr="00F12C3C">
              <w:rPr>
                <w:rFonts w:cs="Arial"/>
                <w:b/>
                <w:bCs/>
                <w:sz w:val="20"/>
                <w:lang w:val="en-US"/>
              </w:rPr>
              <w:t xml:space="preserve"> 12 months (West Bank)</w:t>
            </w:r>
          </w:p>
        </w:tc>
        <w:tc>
          <w:tcPr>
            <w:tcW w:w="672" w:type="dxa"/>
            <w:shd w:val="clear" w:color="auto" w:fill="FDE9D9" w:themeFill="accent6" w:themeFillTint="33"/>
          </w:tcPr>
          <w:p w14:paraId="58F07112" w14:textId="77777777" w:rsidR="004002DA" w:rsidRPr="00F12C3C" w:rsidRDefault="004002DA" w:rsidP="004002DA">
            <w:pPr>
              <w:jc w:val="right"/>
              <w:rPr>
                <w:rFonts w:cs="Arial"/>
                <w:sz w:val="20"/>
              </w:rPr>
            </w:pPr>
            <w:r w:rsidRPr="00F12C3C">
              <w:rPr>
                <w:rFonts w:cs="Arial"/>
                <w:sz w:val="20"/>
              </w:rPr>
              <w:t>4,032</w:t>
            </w:r>
          </w:p>
        </w:tc>
      </w:tr>
      <w:tr w:rsidR="004002DA" w:rsidRPr="00F12C3C" w14:paraId="18C3A712" w14:textId="77777777" w:rsidTr="004002DA">
        <w:trPr>
          <w:trHeight w:val="538"/>
        </w:trPr>
        <w:tc>
          <w:tcPr>
            <w:tcW w:w="867" w:type="dxa"/>
          </w:tcPr>
          <w:p w14:paraId="6A36FC70" w14:textId="77777777" w:rsidR="004002DA" w:rsidRPr="00F12C3C" w:rsidRDefault="004002DA" w:rsidP="004002DA">
            <w:pPr>
              <w:rPr>
                <w:rFonts w:cs="Arial"/>
                <w:sz w:val="20"/>
              </w:rPr>
            </w:pPr>
            <w:r w:rsidRPr="00F12C3C">
              <w:rPr>
                <w:rFonts w:cs="Arial"/>
                <w:b/>
                <w:bCs/>
                <w:sz w:val="20"/>
              </w:rPr>
              <w:t>Activity 1.2.2</w:t>
            </w:r>
          </w:p>
          <w:p w14:paraId="5A7F3784" w14:textId="77777777" w:rsidR="004002DA" w:rsidRPr="00F12C3C" w:rsidRDefault="004002DA" w:rsidP="004002DA">
            <w:pPr>
              <w:rPr>
                <w:rFonts w:cs="Arial"/>
                <w:sz w:val="20"/>
              </w:rPr>
            </w:pPr>
          </w:p>
        </w:tc>
        <w:tc>
          <w:tcPr>
            <w:tcW w:w="1007" w:type="dxa"/>
          </w:tcPr>
          <w:p w14:paraId="5D81B332" w14:textId="77777777" w:rsidR="004002DA" w:rsidRPr="00F12C3C" w:rsidRDefault="004002DA" w:rsidP="004002DA">
            <w:pPr>
              <w:rPr>
                <w:rFonts w:cs="Arial"/>
                <w:sz w:val="20"/>
              </w:rPr>
            </w:pPr>
            <w:r w:rsidRPr="00F12C3C">
              <w:rPr>
                <w:rFonts w:cs="Arial"/>
                <w:sz w:val="20"/>
              </w:rPr>
              <w:t>Month</w:t>
            </w:r>
          </w:p>
        </w:tc>
        <w:tc>
          <w:tcPr>
            <w:tcW w:w="956" w:type="dxa"/>
            <w:shd w:val="clear" w:color="auto" w:fill="E5DFEC" w:themeFill="accent4" w:themeFillTint="33"/>
          </w:tcPr>
          <w:p w14:paraId="53C462C0" w14:textId="77777777" w:rsidR="004002DA" w:rsidRPr="00F12C3C" w:rsidRDefault="004002DA" w:rsidP="004002DA">
            <w:pPr>
              <w:jc w:val="right"/>
              <w:rPr>
                <w:rFonts w:cs="Arial"/>
                <w:sz w:val="20"/>
              </w:rPr>
            </w:pPr>
            <w:r w:rsidRPr="00F12C3C">
              <w:rPr>
                <w:rFonts w:cs="Arial"/>
                <w:sz w:val="20"/>
              </w:rPr>
              <w:t>420</w:t>
            </w:r>
          </w:p>
        </w:tc>
        <w:tc>
          <w:tcPr>
            <w:tcW w:w="2276" w:type="dxa"/>
            <w:shd w:val="clear" w:color="auto" w:fill="E5DFEC" w:themeFill="accent4" w:themeFillTint="33"/>
          </w:tcPr>
          <w:p w14:paraId="300D3492" w14:textId="77777777" w:rsidR="004002DA" w:rsidRPr="00F12C3C" w:rsidRDefault="004002DA" w:rsidP="004002DA">
            <w:pPr>
              <w:rPr>
                <w:rFonts w:cs="Arial"/>
                <w:sz w:val="20"/>
                <w:lang w:val="en-US"/>
              </w:rPr>
            </w:pPr>
            <w:r w:rsidRPr="00F12C3C">
              <w:rPr>
                <w:rFonts w:cs="Arial"/>
                <w:sz w:val="20"/>
                <w:lang w:val="en-US"/>
              </w:rPr>
              <w:t xml:space="preserve">Job placement for </w:t>
            </w:r>
            <w:r w:rsidRPr="00F12C3C">
              <w:rPr>
                <w:rFonts w:cs="Arial"/>
                <w:b/>
                <w:bCs/>
                <w:sz w:val="20"/>
                <w:lang w:val="en-US"/>
              </w:rPr>
              <w:t xml:space="preserve">200 </w:t>
            </w:r>
            <w:r w:rsidRPr="00F12C3C">
              <w:rPr>
                <w:rFonts w:cs="Arial"/>
                <w:sz w:val="20"/>
                <w:lang w:val="en-US"/>
              </w:rPr>
              <w:t>skilled/ unskilled workers for</w:t>
            </w:r>
            <w:r w:rsidRPr="00F12C3C">
              <w:rPr>
                <w:rFonts w:cs="Arial"/>
                <w:b/>
                <w:bCs/>
                <w:sz w:val="20"/>
                <w:lang w:val="en-US"/>
              </w:rPr>
              <w:t xml:space="preserve"> 3 months (Gaza)</w:t>
            </w:r>
          </w:p>
        </w:tc>
        <w:tc>
          <w:tcPr>
            <w:tcW w:w="722" w:type="dxa"/>
            <w:shd w:val="clear" w:color="auto" w:fill="E5DFEC" w:themeFill="accent4" w:themeFillTint="33"/>
          </w:tcPr>
          <w:p w14:paraId="05A69032" w14:textId="77777777" w:rsidR="004002DA" w:rsidRPr="00F12C3C" w:rsidRDefault="004002DA" w:rsidP="004002DA">
            <w:pPr>
              <w:jc w:val="right"/>
              <w:rPr>
                <w:rFonts w:cs="Arial"/>
                <w:sz w:val="20"/>
              </w:rPr>
            </w:pPr>
            <w:r w:rsidRPr="00F12C3C">
              <w:rPr>
                <w:rFonts w:cs="Arial"/>
                <w:sz w:val="20"/>
              </w:rPr>
              <w:t>600</w:t>
            </w:r>
          </w:p>
        </w:tc>
        <w:tc>
          <w:tcPr>
            <w:tcW w:w="1084" w:type="dxa"/>
            <w:shd w:val="clear" w:color="auto" w:fill="FDE9D9" w:themeFill="accent6" w:themeFillTint="33"/>
          </w:tcPr>
          <w:p w14:paraId="61F688C2" w14:textId="77777777" w:rsidR="004002DA" w:rsidRPr="00F12C3C" w:rsidRDefault="004002DA" w:rsidP="004002DA">
            <w:pPr>
              <w:jc w:val="right"/>
              <w:rPr>
                <w:rFonts w:cs="Arial"/>
                <w:sz w:val="20"/>
              </w:rPr>
            </w:pPr>
            <w:r w:rsidRPr="00F12C3C">
              <w:rPr>
                <w:rFonts w:cs="Arial"/>
                <w:sz w:val="20"/>
              </w:rPr>
              <w:t>420</w:t>
            </w:r>
          </w:p>
        </w:tc>
        <w:tc>
          <w:tcPr>
            <w:tcW w:w="2346" w:type="dxa"/>
            <w:shd w:val="clear" w:color="auto" w:fill="FDE9D9" w:themeFill="accent6" w:themeFillTint="33"/>
          </w:tcPr>
          <w:p w14:paraId="49E955F7" w14:textId="77777777" w:rsidR="004002DA" w:rsidRPr="00F12C3C" w:rsidRDefault="004002DA" w:rsidP="004002DA">
            <w:pPr>
              <w:rPr>
                <w:rFonts w:cs="Arial"/>
                <w:sz w:val="20"/>
                <w:lang w:val="en-US"/>
              </w:rPr>
            </w:pPr>
            <w:r w:rsidRPr="00F12C3C">
              <w:rPr>
                <w:rFonts w:cs="Arial"/>
                <w:sz w:val="20"/>
                <w:lang w:val="en-US"/>
              </w:rPr>
              <w:t xml:space="preserve">Job placement for </w:t>
            </w:r>
            <w:r w:rsidRPr="00F12C3C">
              <w:rPr>
                <w:rFonts w:cs="Arial"/>
                <w:b/>
                <w:bCs/>
                <w:sz w:val="20"/>
                <w:lang w:val="en-US"/>
              </w:rPr>
              <w:t xml:space="preserve">305 </w:t>
            </w:r>
            <w:r w:rsidRPr="00F12C3C">
              <w:rPr>
                <w:rFonts w:cs="Arial"/>
                <w:sz w:val="20"/>
                <w:lang w:val="en-US"/>
              </w:rPr>
              <w:t>skilled/ unskilled workers for</w:t>
            </w:r>
            <w:r w:rsidRPr="00F12C3C">
              <w:rPr>
                <w:rFonts w:cs="Arial"/>
                <w:b/>
                <w:bCs/>
                <w:sz w:val="20"/>
                <w:lang w:val="en-US"/>
              </w:rPr>
              <w:t xml:space="preserve"> up to 12 months (West Bank)</w:t>
            </w:r>
          </w:p>
        </w:tc>
        <w:tc>
          <w:tcPr>
            <w:tcW w:w="672" w:type="dxa"/>
            <w:shd w:val="clear" w:color="auto" w:fill="FDE9D9" w:themeFill="accent6" w:themeFillTint="33"/>
          </w:tcPr>
          <w:p w14:paraId="1793B641" w14:textId="77777777" w:rsidR="004002DA" w:rsidRPr="00F12C3C" w:rsidRDefault="004002DA" w:rsidP="004002DA">
            <w:pPr>
              <w:jc w:val="right"/>
              <w:rPr>
                <w:rFonts w:cs="Arial"/>
                <w:sz w:val="20"/>
              </w:rPr>
            </w:pPr>
            <w:r w:rsidRPr="00F12C3C">
              <w:rPr>
                <w:rFonts w:cs="Arial"/>
                <w:sz w:val="20"/>
              </w:rPr>
              <w:t>3,660</w:t>
            </w:r>
          </w:p>
        </w:tc>
      </w:tr>
      <w:tr w:rsidR="004002DA" w:rsidRPr="00F12C3C" w14:paraId="39D3EA91" w14:textId="77777777" w:rsidTr="004002DA">
        <w:trPr>
          <w:trHeight w:val="288"/>
        </w:trPr>
        <w:tc>
          <w:tcPr>
            <w:tcW w:w="867" w:type="dxa"/>
          </w:tcPr>
          <w:p w14:paraId="24ED0DA5" w14:textId="77777777" w:rsidR="004002DA" w:rsidRPr="00F12C3C" w:rsidRDefault="004002DA" w:rsidP="004002DA">
            <w:pPr>
              <w:rPr>
                <w:rFonts w:cs="Arial"/>
                <w:sz w:val="20"/>
              </w:rPr>
            </w:pPr>
            <w:r w:rsidRPr="00F12C3C">
              <w:rPr>
                <w:rFonts w:cs="Arial"/>
                <w:b/>
                <w:bCs/>
                <w:sz w:val="20"/>
              </w:rPr>
              <w:t>Activity 1.2.3</w:t>
            </w:r>
          </w:p>
        </w:tc>
        <w:tc>
          <w:tcPr>
            <w:tcW w:w="1007" w:type="dxa"/>
          </w:tcPr>
          <w:p w14:paraId="35313DF2" w14:textId="77777777" w:rsidR="004002DA" w:rsidRPr="00F12C3C" w:rsidRDefault="004002DA" w:rsidP="004002DA">
            <w:pPr>
              <w:rPr>
                <w:rFonts w:cs="Arial"/>
                <w:sz w:val="20"/>
              </w:rPr>
            </w:pPr>
            <w:r w:rsidRPr="00F12C3C">
              <w:rPr>
                <w:rFonts w:cs="Arial"/>
                <w:sz w:val="20"/>
              </w:rPr>
              <w:t>Health personnel</w:t>
            </w:r>
          </w:p>
        </w:tc>
        <w:tc>
          <w:tcPr>
            <w:tcW w:w="956" w:type="dxa"/>
            <w:shd w:val="clear" w:color="auto" w:fill="E5DFEC" w:themeFill="accent4" w:themeFillTint="33"/>
          </w:tcPr>
          <w:p w14:paraId="3D223FEF" w14:textId="77777777" w:rsidR="004002DA" w:rsidRPr="00F12C3C" w:rsidRDefault="004002DA" w:rsidP="004002DA">
            <w:pPr>
              <w:jc w:val="right"/>
              <w:rPr>
                <w:rFonts w:cs="Arial"/>
                <w:sz w:val="20"/>
              </w:rPr>
            </w:pPr>
            <w:r w:rsidRPr="00F12C3C">
              <w:rPr>
                <w:rFonts w:cs="Arial"/>
                <w:sz w:val="20"/>
              </w:rPr>
              <w:t>50</w:t>
            </w:r>
          </w:p>
        </w:tc>
        <w:tc>
          <w:tcPr>
            <w:tcW w:w="2276" w:type="dxa"/>
            <w:shd w:val="clear" w:color="auto" w:fill="E5DFEC" w:themeFill="accent4" w:themeFillTint="33"/>
          </w:tcPr>
          <w:p w14:paraId="65FB978D" w14:textId="77777777" w:rsidR="004002DA" w:rsidRPr="00F12C3C" w:rsidRDefault="004002DA" w:rsidP="004002DA">
            <w:pPr>
              <w:rPr>
                <w:rFonts w:cs="Arial"/>
                <w:sz w:val="20"/>
                <w:lang w:val="en-US"/>
              </w:rPr>
            </w:pPr>
            <w:r w:rsidRPr="00F12C3C">
              <w:rPr>
                <w:rFonts w:cs="Arial"/>
                <w:sz w:val="20"/>
                <w:lang w:val="en-US"/>
              </w:rPr>
              <w:t>Training for health personnel. Gaza, West Bank and East Jerusalem</w:t>
            </w:r>
          </w:p>
        </w:tc>
        <w:tc>
          <w:tcPr>
            <w:tcW w:w="722" w:type="dxa"/>
            <w:shd w:val="clear" w:color="auto" w:fill="E5DFEC" w:themeFill="accent4" w:themeFillTint="33"/>
          </w:tcPr>
          <w:p w14:paraId="7FF1F35B" w14:textId="77777777" w:rsidR="004002DA" w:rsidRPr="00F12C3C" w:rsidRDefault="004002DA" w:rsidP="004002DA">
            <w:pPr>
              <w:jc w:val="right"/>
              <w:rPr>
                <w:rFonts w:cs="Arial"/>
                <w:sz w:val="20"/>
              </w:rPr>
            </w:pPr>
            <w:r w:rsidRPr="00F12C3C">
              <w:rPr>
                <w:rFonts w:cs="Arial"/>
                <w:sz w:val="20"/>
              </w:rPr>
              <w:t>1,000</w:t>
            </w:r>
          </w:p>
        </w:tc>
        <w:tc>
          <w:tcPr>
            <w:tcW w:w="1084" w:type="dxa"/>
            <w:shd w:val="clear" w:color="auto" w:fill="FDE9D9" w:themeFill="accent6" w:themeFillTint="33"/>
          </w:tcPr>
          <w:p w14:paraId="0011E2EC" w14:textId="77777777" w:rsidR="004002DA" w:rsidRPr="00F12C3C" w:rsidRDefault="004002DA" w:rsidP="004002DA">
            <w:pPr>
              <w:jc w:val="right"/>
              <w:rPr>
                <w:rFonts w:cs="Arial"/>
                <w:sz w:val="20"/>
              </w:rPr>
            </w:pPr>
            <w:r w:rsidRPr="00F12C3C">
              <w:rPr>
                <w:rFonts w:cs="Arial"/>
                <w:sz w:val="20"/>
              </w:rPr>
              <w:t>-</w:t>
            </w:r>
          </w:p>
        </w:tc>
        <w:tc>
          <w:tcPr>
            <w:tcW w:w="2346" w:type="dxa"/>
            <w:shd w:val="clear" w:color="auto" w:fill="FDE9D9" w:themeFill="accent6" w:themeFillTint="33"/>
          </w:tcPr>
          <w:p w14:paraId="493B2AC3" w14:textId="77777777" w:rsidR="004002DA" w:rsidRPr="00F12C3C" w:rsidRDefault="004002DA" w:rsidP="004002DA">
            <w:pPr>
              <w:rPr>
                <w:rFonts w:cs="Arial"/>
                <w:sz w:val="20"/>
              </w:rPr>
            </w:pPr>
            <w:r w:rsidRPr="00F12C3C">
              <w:rPr>
                <w:rFonts w:cs="Arial"/>
                <w:sz w:val="20"/>
              </w:rPr>
              <w:t>-</w:t>
            </w:r>
          </w:p>
        </w:tc>
        <w:tc>
          <w:tcPr>
            <w:tcW w:w="672" w:type="dxa"/>
            <w:shd w:val="clear" w:color="auto" w:fill="FDE9D9" w:themeFill="accent6" w:themeFillTint="33"/>
          </w:tcPr>
          <w:p w14:paraId="7DE44910" w14:textId="77777777" w:rsidR="004002DA" w:rsidRPr="00F12C3C" w:rsidRDefault="004002DA" w:rsidP="004002DA">
            <w:pPr>
              <w:jc w:val="right"/>
              <w:rPr>
                <w:rFonts w:cs="Arial"/>
                <w:sz w:val="20"/>
              </w:rPr>
            </w:pPr>
            <w:r w:rsidRPr="00F12C3C">
              <w:rPr>
                <w:rFonts w:cs="Arial"/>
                <w:sz w:val="20"/>
              </w:rPr>
              <w:t>-</w:t>
            </w:r>
          </w:p>
        </w:tc>
      </w:tr>
    </w:tbl>
    <w:p w14:paraId="11DA8AFB" w14:textId="77777777" w:rsidR="004002DA" w:rsidRDefault="004002DA" w:rsidP="004002DA">
      <w:pPr>
        <w:rPr>
          <w:rFonts w:cs="Arial"/>
          <w:sz w:val="20"/>
        </w:rPr>
      </w:pPr>
    </w:p>
    <w:p w14:paraId="08126B8B" w14:textId="77777777" w:rsidR="006F767C" w:rsidRDefault="006F767C" w:rsidP="004002DA">
      <w:pPr>
        <w:rPr>
          <w:rFonts w:cs="Arial"/>
          <w:sz w:val="20"/>
        </w:rPr>
      </w:pPr>
    </w:p>
    <w:p w14:paraId="45B47B5A" w14:textId="77777777" w:rsidR="006F767C" w:rsidRDefault="006F767C" w:rsidP="004002DA">
      <w:pPr>
        <w:rPr>
          <w:rFonts w:cs="Arial"/>
          <w:sz w:val="20"/>
        </w:rPr>
      </w:pPr>
    </w:p>
    <w:p w14:paraId="37ED0CF4" w14:textId="77777777" w:rsidR="006F767C" w:rsidRPr="00F12C3C" w:rsidRDefault="006F767C" w:rsidP="004002DA">
      <w:pPr>
        <w:rPr>
          <w:rFonts w:cs="Arial"/>
          <w:sz w:val="20"/>
        </w:rPr>
      </w:pPr>
    </w:p>
    <w:p w14:paraId="1C16BDA4" w14:textId="77777777" w:rsidR="004002DA" w:rsidRPr="006F767C" w:rsidRDefault="004002DA" w:rsidP="004002DA">
      <w:pPr>
        <w:rPr>
          <w:rFonts w:cs="Arial"/>
          <w:b/>
          <w:bCs/>
          <w:sz w:val="20"/>
          <w:lang w:val="en-US"/>
        </w:rPr>
      </w:pPr>
      <w:r w:rsidRPr="006F767C">
        <w:rPr>
          <w:rFonts w:cs="Arial"/>
          <w:b/>
          <w:bCs/>
          <w:sz w:val="20"/>
          <w:lang w:val="en-US"/>
        </w:rPr>
        <w:t>Adjustment to Project Operating Costs</w:t>
      </w:r>
    </w:p>
    <w:p w14:paraId="2F75FD9E" w14:textId="77777777" w:rsidR="004002DA" w:rsidRPr="00F12C3C" w:rsidRDefault="004002DA" w:rsidP="004002DA">
      <w:pPr>
        <w:rPr>
          <w:rFonts w:cs="Arial"/>
          <w:sz w:val="20"/>
          <w:lang w:val="en-US"/>
        </w:rPr>
      </w:pPr>
      <w:r w:rsidRPr="00F12C3C">
        <w:rPr>
          <w:rFonts w:cs="Arial"/>
          <w:sz w:val="20"/>
          <w:lang w:val="en-US"/>
        </w:rPr>
        <w:t>Considering the increased investment in health personnel deployment and based on UNDP experience implementing similar activities in Gaza, the recruitment of two coordinators for oversight and follow-up was identified, one in the West Bank and the other in Gaza.</w:t>
      </w:r>
    </w:p>
    <w:p w14:paraId="5C8F6359" w14:textId="77777777" w:rsidR="004002DA" w:rsidRPr="00F12C3C" w:rsidRDefault="004002DA" w:rsidP="004002DA">
      <w:pPr>
        <w:rPr>
          <w:rFonts w:cs="Arial"/>
          <w:b/>
          <w:bCs/>
          <w:sz w:val="20"/>
          <w:lang w:val="en-US"/>
        </w:rPr>
      </w:pPr>
      <w:r w:rsidRPr="00F12C3C">
        <w:rPr>
          <w:rFonts w:cs="Arial"/>
          <w:b/>
          <w:bCs/>
          <w:sz w:val="20"/>
          <w:lang w:val="en-US"/>
        </w:rPr>
        <w:t>Adjustment to Direct and Indirect Project Costs</w:t>
      </w:r>
    </w:p>
    <w:p w14:paraId="03E33C14" w14:textId="77777777" w:rsidR="004002DA" w:rsidRPr="00F12C3C" w:rsidRDefault="004002DA" w:rsidP="002A6590">
      <w:pPr>
        <w:pStyle w:val="ListParagraph"/>
        <w:numPr>
          <w:ilvl w:val="0"/>
          <w:numId w:val="28"/>
        </w:numPr>
        <w:spacing w:after="160" w:line="360" w:lineRule="auto"/>
        <w:jc w:val="both"/>
        <w:rPr>
          <w:rFonts w:cs="Arial"/>
          <w:sz w:val="20"/>
          <w:lang w:val="en-US"/>
        </w:rPr>
      </w:pPr>
      <w:r w:rsidRPr="00F12C3C">
        <w:rPr>
          <w:rFonts w:cs="Arial"/>
          <w:sz w:val="20"/>
          <w:lang w:val="en-US"/>
        </w:rPr>
        <w:t>Resilience Specialist increased from 40% to 60%: the additional investment in the health sector requires particular attention on ensuring the alignment of the short-term health response with the medium to longer term efforts aimed at strengthening the health system. Increase in the time and budget allocation for the Resilience Specialist would allow the implementation of a methodologically sound and evidence-based resilience approach, contributing to the longer-term impact and sustainability of the investment.</w:t>
      </w:r>
    </w:p>
    <w:p w14:paraId="3F849093" w14:textId="77777777" w:rsidR="004002DA" w:rsidRPr="00F12C3C" w:rsidRDefault="004002DA" w:rsidP="002A6590">
      <w:pPr>
        <w:pStyle w:val="ListParagraph"/>
        <w:numPr>
          <w:ilvl w:val="0"/>
          <w:numId w:val="28"/>
        </w:numPr>
        <w:spacing w:after="160" w:line="360" w:lineRule="auto"/>
        <w:jc w:val="both"/>
        <w:rPr>
          <w:rFonts w:cs="Arial"/>
          <w:sz w:val="20"/>
          <w:lang w:val="en-US"/>
        </w:rPr>
      </w:pPr>
      <w:r w:rsidRPr="00F12C3C">
        <w:rPr>
          <w:rFonts w:cs="Arial"/>
          <w:sz w:val="20"/>
          <w:lang w:val="en-US"/>
        </w:rPr>
        <w:t>Portfolio Programme Manager increased from 30% to 50%: in line with the increased investment and the need for additional time dedicated to advancing the programme to achieve quality results, managing partnerships and ensuring delivery, the time and budget allocation for the  Portfolio Programme Manager was increased accordingly; and</w:t>
      </w:r>
    </w:p>
    <w:p w14:paraId="5BAB31EA" w14:textId="77777777" w:rsidR="004002DA" w:rsidRPr="00F12C3C" w:rsidRDefault="004002DA" w:rsidP="002A6590">
      <w:pPr>
        <w:pStyle w:val="ListParagraph"/>
        <w:numPr>
          <w:ilvl w:val="0"/>
          <w:numId w:val="28"/>
        </w:numPr>
        <w:spacing w:before="120" w:after="120" w:line="360" w:lineRule="auto"/>
        <w:jc w:val="both"/>
        <w:rPr>
          <w:rFonts w:cs="Arial"/>
          <w:sz w:val="20"/>
          <w:lang w:val="en-US"/>
        </w:rPr>
      </w:pPr>
      <w:r w:rsidRPr="00F12C3C">
        <w:rPr>
          <w:rFonts w:cs="Arial"/>
          <w:sz w:val="20"/>
          <w:lang w:val="en-US"/>
        </w:rPr>
        <w:t>Procurement Specialist increased from 50% to 100%: given the additional resources allocated to Outcome 1 which rely heavily on efficient and accountable procurement processes, the cost of the procurement specialist has been budgeted at 100% for 12 months, following the implementation timeframe of Outcome 1.</w:t>
      </w:r>
    </w:p>
    <w:p w14:paraId="51A6C808" w14:textId="77777777" w:rsidR="004002DA" w:rsidRPr="00F12C3C" w:rsidRDefault="004002DA" w:rsidP="004002DA">
      <w:pPr>
        <w:rPr>
          <w:rFonts w:cs="Arial"/>
          <w:sz w:val="20"/>
          <w:lang w:val="en-US"/>
        </w:rPr>
      </w:pPr>
    </w:p>
    <w:p w14:paraId="0654B593" w14:textId="77777777" w:rsidR="00874E7C" w:rsidRPr="004002DA" w:rsidRDefault="00874E7C" w:rsidP="006E0B60">
      <w:pPr>
        <w:tabs>
          <w:tab w:val="left" w:pos="4890"/>
        </w:tabs>
        <w:spacing w:before="120" w:after="120" w:line="320" w:lineRule="atLeast"/>
        <w:ind w:right="-6"/>
        <w:rPr>
          <w:rFonts w:cs="Arial"/>
          <w:lang w:val="en-US"/>
        </w:rPr>
      </w:pPr>
    </w:p>
    <w:p w14:paraId="7AC673A2" w14:textId="77777777" w:rsidR="003D6601" w:rsidRDefault="003D6601" w:rsidP="00874E7C">
      <w:pPr>
        <w:pStyle w:val="Heading1"/>
        <w:jc w:val="both"/>
        <w:rPr>
          <w:rFonts w:cs="Arial"/>
          <w:b w:val="0"/>
          <w:sz w:val="24"/>
          <w:szCs w:val="24"/>
          <w:u w:val="single"/>
          <w:lang w:val="fr-FR"/>
        </w:rPr>
      </w:pPr>
    </w:p>
    <w:sectPr w:rsidR="003D6601" w:rsidSect="000A4130">
      <w:headerReference w:type="default" r:id="rId18"/>
      <w:pgSz w:w="11913" w:h="16834"/>
      <w:pgMar w:top="1134" w:right="1134" w:bottom="1134"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30831" w14:textId="77777777" w:rsidR="00C2339E" w:rsidRDefault="00C2339E">
      <w:r>
        <w:separator/>
      </w:r>
    </w:p>
  </w:endnote>
  <w:endnote w:type="continuationSeparator" w:id="0">
    <w:p w14:paraId="6F7BBF9F" w14:textId="77777777" w:rsidR="00C2339E" w:rsidRDefault="00C2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 w:name="ヒラギノ角ゴ Pro W3">
    <w:charset w:val="80"/>
    <w:family w:val="swiss"/>
    <w:pitch w:val="variable"/>
    <w:sig w:usb0="E00002FF" w:usb1="7AC7FFFF" w:usb2="00000012" w:usb3="00000000" w:csb0="0002000D" w:csb1="00000000"/>
  </w:font>
  <w:font w:name="Yu Mincho">
    <w:altName w:val="游明朝"/>
    <w:charset w:val="80"/>
    <w:family w:val="roman"/>
    <w:pitch w:val="variable"/>
    <w:sig w:usb0="800002E7" w:usb1="2AC7FCFF" w:usb2="00000012" w:usb3="00000000" w:csb0="0002009F" w:csb1="00000000"/>
  </w:font>
  <w:font w:name="Lohit Devanagari">
    <w:altName w:val="Times New Roman"/>
    <w:charset w:val="00"/>
    <w:family w:val="auto"/>
    <w:pitch w:val="variable"/>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7B29F" w14:textId="77777777" w:rsidR="00C2339E" w:rsidRDefault="00C2339E">
      <w:r>
        <w:separator/>
      </w:r>
    </w:p>
  </w:footnote>
  <w:footnote w:type="continuationSeparator" w:id="0">
    <w:p w14:paraId="7E74E964" w14:textId="77777777" w:rsidR="00C2339E" w:rsidRDefault="00C2339E">
      <w:r>
        <w:continuationSeparator/>
      </w:r>
    </w:p>
  </w:footnote>
  <w:footnote w:id="1">
    <w:p w14:paraId="305FE536" w14:textId="77777777" w:rsidR="0066181A" w:rsidRPr="00CC1F5D" w:rsidRDefault="0066181A" w:rsidP="004002DA">
      <w:pPr>
        <w:pStyle w:val="FootnoteText"/>
        <w:rPr>
          <w:rFonts w:ascii="Arial" w:hAnsi="Arial" w:cs="Arial"/>
          <w:sz w:val="16"/>
          <w:szCs w:val="18"/>
        </w:rPr>
      </w:pPr>
      <w:r w:rsidRPr="00CC1F5D">
        <w:rPr>
          <w:rStyle w:val="FootnoteReference"/>
          <w:rFonts w:cs="Arial"/>
          <w:sz w:val="16"/>
          <w:szCs w:val="18"/>
        </w:rPr>
        <w:footnoteRef/>
      </w:r>
      <w:r w:rsidRPr="00CC1F5D">
        <w:rPr>
          <w:rFonts w:ascii="Arial" w:hAnsi="Arial" w:cs="Arial"/>
          <w:sz w:val="16"/>
          <w:szCs w:val="18"/>
        </w:rPr>
        <w:t xml:space="preserve"> </w:t>
      </w:r>
      <w:r w:rsidRPr="00CC1F5D">
        <w:rPr>
          <w:rFonts w:ascii="Arial" w:hAnsi="Arial" w:cs="Arial"/>
          <w:sz w:val="16"/>
          <w:szCs w:val="18"/>
          <w:shd w:val="clear" w:color="auto" w:fill="FFFFFF"/>
        </w:rPr>
        <w:t xml:space="preserve">CORONAVIRUS - COVID19 Surveillance System, </w:t>
      </w:r>
      <w:hyperlink r:id="rId1" w:history="1">
        <w:r w:rsidRPr="00CC1F5D">
          <w:rPr>
            <w:rStyle w:val="Hyperlink"/>
            <w:rFonts w:ascii="Arial" w:hAnsi="Arial" w:cs="Arial"/>
            <w:sz w:val="16"/>
            <w:szCs w:val="18"/>
          </w:rPr>
          <w:t>http://site.moh.ps/Index/covid19/LanguageVersion/1/Language/ar</w:t>
        </w:r>
      </w:hyperlink>
      <w:r>
        <w:rPr>
          <w:rStyle w:val="Hyperlink"/>
          <w:rFonts w:ascii="Arial" w:hAnsi="Arial" w:cs="Arial"/>
          <w:sz w:val="16"/>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126826742"/>
      <w:docPartObj>
        <w:docPartGallery w:val="Page Numbers (Top of Page)"/>
        <w:docPartUnique/>
      </w:docPartObj>
    </w:sdtPr>
    <w:sdtEndPr/>
    <w:sdtContent>
      <w:p w14:paraId="03E4BEA9" w14:textId="77777777" w:rsidR="0005323D" w:rsidRDefault="0005323D" w:rsidP="007A244E"/>
      <w:tbl>
        <w:tblPr>
          <w:tblStyle w:val="Tabellenraster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3337"/>
          <w:gridCol w:w="3723"/>
        </w:tblGrid>
        <w:tr w:rsidR="0005323D" w:rsidRPr="00AB1530" w14:paraId="7D07D939" w14:textId="77777777" w:rsidTr="005A6942">
          <w:tc>
            <w:tcPr>
              <w:tcW w:w="2404" w:type="dxa"/>
            </w:tcPr>
            <w:p w14:paraId="79730ED1" w14:textId="77777777" w:rsidR="0005323D" w:rsidRPr="00AB1530" w:rsidRDefault="0005323D" w:rsidP="005A6942">
              <w:pPr>
                <w:tabs>
                  <w:tab w:val="center" w:pos="4680"/>
                  <w:tab w:val="right" w:pos="9360"/>
                </w:tabs>
                <w:spacing w:line="240" w:lineRule="auto"/>
                <w:ind w:left="-198"/>
                <w:rPr>
                  <w:rFonts w:ascii="Times New Roman" w:hAnsi="Times New Roman"/>
                  <w:sz w:val="20"/>
                </w:rPr>
              </w:pPr>
            </w:p>
          </w:tc>
          <w:tc>
            <w:tcPr>
              <w:tcW w:w="3337" w:type="dxa"/>
              <w:vAlign w:val="bottom"/>
            </w:tcPr>
            <w:p w14:paraId="4E0C5552" w14:textId="77777777" w:rsidR="0005323D" w:rsidRPr="00AB1530" w:rsidRDefault="0005323D" w:rsidP="005A6942">
              <w:pPr>
                <w:tabs>
                  <w:tab w:val="center" w:pos="4680"/>
                  <w:tab w:val="right" w:pos="9360"/>
                </w:tabs>
                <w:spacing w:line="240" w:lineRule="auto"/>
                <w:ind w:left="1565"/>
                <w:rPr>
                  <w:rFonts w:ascii="Times New Roman" w:hAnsi="Times New Roman"/>
                  <w:sz w:val="20"/>
                </w:rPr>
              </w:pPr>
            </w:p>
          </w:tc>
          <w:tc>
            <w:tcPr>
              <w:tcW w:w="3723" w:type="dxa"/>
            </w:tcPr>
            <w:p w14:paraId="4A320C1F" w14:textId="77777777" w:rsidR="0005323D" w:rsidRPr="00AB1530" w:rsidRDefault="0005323D" w:rsidP="005A6942">
              <w:pPr>
                <w:tabs>
                  <w:tab w:val="center" w:pos="4680"/>
                  <w:tab w:val="right" w:pos="9360"/>
                </w:tabs>
                <w:spacing w:line="240" w:lineRule="auto"/>
                <w:jc w:val="right"/>
                <w:rPr>
                  <w:rFonts w:ascii="Times New Roman" w:hAnsi="Times New Roman"/>
                  <w:sz w:val="20"/>
                </w:rPr>
              </w:pPr>
            </w:p>
          </w:tc>
        </w:tr>
      </w:tbl>
      <w:p w14:paraId="3125695A" w14:textId="77777777" w:rsidR="0005323D" w:rsidRDefault="000A4130" w:rsidP="007A244E">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1B75"/>
    <w:multiLevelType w:val="hybridMultilevel"/>
    <w:tmpl w:val="A316F0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5B76A8"/>
    <w:multiLevelType w:val="hybridMultilevel"/>
    <w:tmpl w:val="9CAC1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E090B"/>
    <w:multiLevelType w:val="hybridMultilevel"/>
    <w:tmpl w:val="4A16C6F6"/>
    <w:lvl w:ilvl="0" w:tplc="791456B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F91D1E"/>
    <w:multiLevelType w:val="hybridMultilevel"/>
    <w:tmpl w:val="8F16CBE4"/>
    <w:lvl w:ilvl="0" w:tplc="9F5C1DAE">
      <w:start w:val="1"/>
      <w:numFmt w:val="bullet"/>
      <w:lvlText w:val=""/>
      <w:lvlJc w:val="left"/>
      <w:pPr>
        <w:ind w:left="720" w:hanging="360"/>
      </w:pPr>
      <w:rPr>
        <w:rFonts w:ascii="Symbol" w:hAnsi="Symbol" w:hint="default"/>
      </w:rPr>
    </w:lvl>
    <w:lvl w:ilvl="1" w:tplc="0A221280">
      <w:start w:val="1"/>
      <w:numFmt w:val="bullet"/>
      <w:lvlText w:val=""/>
      <w:lvlJc w:val="left"/>
      <w:pPr>
        <w:ind w:left="1440" w:hanging="360"/>
      </w:pPr>
      <w:rPr>
        <w:rFonts w:ascii="Symbol" w:hAnsi="Symbol" w:hint="default"/>
      </w:rPr>
    </w:lvl>
    <w:lvl w:ilvl="2" w:tplc="00AAB524">
      <w:start w:val="1"/>
      <w:numFmt w:val="bullet"/>
      <w:lvlText w:val=""/>
      <w:lvlJc w:val="left"/>
      <w:pPr>
        <w:ind w:left="2160" w:hanging="360"/>
      </w:pPr>
      <w:rPr>
        <w:rFonts w:ascii="Wingdings" w:hAnsi="Wingdings" w:hint="default"/>
      </w:rPr>
    </w:lvl>
    <w:lvl w:ilvl="3" w:tplc="C51C446A">
      <w:start w:val="1"/>
      <w:numFmt w:val="bullet"/>
      <w:lvlText w:val=""/>
      <w:lvlJc w:val="left"/>
      <w:pPr>
        <w:ind w:left="2880" w:hanging="360"/>
      </w:pPr>
      <w:rPr>
        <w:rFonts w:ascii="Symbol" w:hAnsi="Symbol" w:hint="default"/>
      </w:rPr>
    </w:lvl>
    <w:lvl w:ilvl="4" w:tplc="2D50DDD2">
      <w:start w:val="1"/>
      <w:numFmt w:val="bullet"/>
      <w:lvlText w:val="o"/>
      <w:lvlJc w:val="left"/>
      <w:pPr>
        <w:ind w:left="3600" w:hanging="360"/>
      </w:pPr>
      <w:rPr>
        <w:rFonts w:ascii="Courier New" w:hAnsi="Courier New" w:hint="default"/>
      </w:rPr>
    </w:lvl>
    <w:lvl w:ilvl="5" w:tplc="59A6CF16">
      <w:start w:val="1"/>
      <w:numFmt w:val="bullet"/>
      <w:lvlText w:val=""/>
      <w:lvlJc w:val="left"/>
      <w:pPr>
        <w:ind w:left="4320" w:hanging="360"/>
      </w:pPr>
      <w:rPr>
        <w:rFonts w:ascii="Wingdings" w:hAnsi="Wingdings" w:hint="default"/>
      </w:rPr>
    </w:lvl>
    <w:lvl w:ilvl="6" w:tplc="0D8CF55E">
      <w:start w:val="1"/>
      <w:numFmt w:val="bullet"/>
      <w:lvlText w:val=""/>
      <w:lvlJc w:val="left"/>
      <w:pPr>
        <w:ind w:left="5040" w:hanging="360"/>
      </w:pPr>
      <w:rPr>
        <w:rFonts w:ascii="Symbol" w:hAnsi="Symbol" w:hint="default"/>
      </w:rPr>
    </w:lvl>
    <w:lvl w:ilvl="7" w:tplc="D470456C">
      <w:start w:val="1"/>
      <w:numFmt w:val="bullet"/>
      <w:lvlText w:val="o"/>
      <w:lvlJc w:val="left"/>
      <w:pPr>
        <w:ind w:left="5760" w:hanging="360"/>
      </w:pPr>
      <w:rPr>
        <w:rFonts w:ascii="Courier New" w:hAnsi="Courier New" w:hint="default"/>
      </w:rPr>
    </w:lvl>
    <w:lvl w:ilvl="8" w:tplc="92682016">
      <w:start w:val="1"/>
      <w:numFmt w:val="bullet"/>
      <w:lvlText w:val=""/>
      <w:lvlJc w:val="left"/>
      <w:pPr>
        <w:ind w:left="6480" w:hanging="360"/>
      </w:pPr>
      <w:rPr>
        <w:rFonts w:ascii="Wingdings" w:hAnsi="Wingdings" w:hint="default"/>
      </w:rPr>
    </w:lvl>
  </w:abstractNum>
  <w:abstractNum w:abstractNumId="4" w15:restartNumberingAfterBreak="0">
    <w:nsid w:val="0F9B52FF"/>
    <w:multiLevelType w:val="hybridMultilevel"/>
    <w:tmpl w:val="00A6448E"/>
    <w:lvl w:ilvl="0" w:tplc="04070017">
      <w:start w:val="1"/>
      <w:numFmt w:val="lowerLetter"/>
      <w:lvlText w:val="%1)"/>
      <w:lvlJc w:val="left"/>
      <w:pPr>
        <w:ind w:left="786" w:hanging="360"/>
      </w:pPr>
    </w:lvl>
    <w:lvl w:ilvl="1" w:tplc="8B1675E2">
      <w:start w:val="1"/>
      <w:numFmt w:val="lowerLetter"/>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DD74C2"/>
    <w:multiLevelType w:val="hybridMultilevel"/>
    <w:tmpl w:val="7A00BDA6"/>
    <w:lvl w:ilvl="0" w:tplc="2C0067A6">
      <w:start w:val="1"/>
      <w:numFmt w:val="decimal"/>
      <w:lvlText w:val="%1."/>
      <w:lvlJc w:val="left"/>
      <w:pPr>
        <w:ind w:left="720" w:hanging="360"/>
      </w:pPr>
      <w:rPr>
        <w:rFonts w:asciiTheme="minorHAnsi" w:eastAsia="Times New Roman"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60556"/>
    <w:multiLevelType w:val="hybridMultilevel"/>
    <w:tmpl w:val="A92818F2"/>
    <w:lvl w:ilvl="0" w:tplc="FFFFFFFF">
      <w:start w:val="3"/>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1277A5"/>
    <w:multiLevelType w:val="hybridMultilevel"/>
    <w:tmpl w:val="03E48DE0"/>
    <w:lvl w:ilvl="0" w:tplc="CD3C1F74">
      <w:start w:val="1"/>
      <w:numFmt w:val="upperRoman"/>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B293D"/>
    <w:multiLevelType w:val="hybridMultilevel"/>
    <w:tmpl w:val="C4DCB7BC"/>
    <w:lvl w:ilvl="0" w:tplc="178A7B7A">
      <w:start w:val="1"/>
      <w:numFmt w:val="bullet"/>
      <w:lvlText w:val="-"/>
      <w:lvlJc w:val="left"/>
      <w:pPr>
        <w:ind w:left="720" w:hanging="360"/>
      </w:pPr>
      <w:rPr>
        <w:rFonts w:ascii="Arial" w:eastAsia="Times New Roman"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C6ADC"/>
    <w:multiLevelType w:val="hybridMultilevel"/>
    <w:tmpl w:val="7BF87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994804"/>
    <w:multiLevelType w:val="hybridMultilevel"/>
    <w:tmpl w:val="742AE06A"/>
    <w:lvl w:ilvl="0" w:tplc="612EB9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A47F4"/>
    <w:multiLevelType w:val="hybridMultilevel"/>
    <w:tmpl w:val="AA3655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A66640"/>
    <w:multiLevelType w:val="hybridMultilevel"/>
    <w:tmpl w:val="EFC2764C"/>
    <w:lvl w:ilvl="0" w:tplc="B0261808">
      <w:start w:val="1"/>
      <w:numFmt w:val="bullet"/>
      <w:lvlText w:val=""/>
      <w:lvlJc w:val="left"/>
      <w:pPr>
        <w:ind w:left="720" w:hanging="360"/>
      </w:pPr>
      <w:rPr>
        <w:rFonts w:ascii="Symbol" w:hAnsi="Symbol" w:hint="default"/>
      </w:rPr>
    </w:lvl>
    <w:lvl w:ilvl="1" w:tplc="60B0C954">
      <w:start w:val="1"/>
      <w:numFmt w:val="bullet"/>
      <w:lvlText w:val="o"/>
      <w:lvlJc w:val="left"/>
      <w:pPr>
        <w:ind w:left="1440" w:hanging="360"/>
      </w:pPr>
      <w:rPr>
        <w:rFonts w:ascii="Courier New" w:hAnsi="Courier New" w:hint="default"/>
      </w:rPr>
    </w:lvl>
    <w:lvl w:ilvl="2" w:tplc="29F27ED6">
      <w:start w:val="1"/>
      <w:numFmt w:val="bullet"/>
      <w:lvlText w:val=""/>
      <w:lvlJc w:val="left"/>
      <w:pPr>
        <w:ind w:left="2160" w:hanging="360"/>
      </w:pPr>
      <w:rPr>
        <w:rFonts w:ascii="Wingdings" w:hAnsi="Wingdings" w:hint="default"/>
      </w:rPr>
    </w:lvl>
    <w:lvl w:ilvl="3" w:tplc="3792643E">
      <w:start w:val="1"/>
      <w:numFmt w:val="bullet"/>
      <w:lvlText w:val=""/>
      <w:lvlJc w:val="left"/>
      <w:pPr>
        <w:ind w:left="2880" w:hanging="360"/>
      </w:pPr>
      <w:rPr>
        <w:rFonts w:ascii="Symbol" w:hAnsi="Symbol" w:hint="default"/>
      </w:rPr>
    </w:lvl>
    <w:lvl w:ilvl="4" w:tplc="0C3CDCC4">
      <w:start w:val="1"/>
      <w:numFmt w:val="bullet"/>
      <w:lvlText w:val="o"/>
      <w:lvlJc w:val="left"/>
      <w:pPr>
        <w:ind w:left="3600" w:hanging="360"/>
      </w:pPr>
      <w:rPr>
        <w:rFonts w:ascii="Courier New" w:hAnsi="Courier New" w:hint="default"/>
      </w:rPr>
    </w:lvl>
    <w:lvl w:ilvl="5" w:tplc="F44A7D9E">
      <w:start w:val="1"/>
      <w:numFmt w:val="bullet"/>
      <w:lvlText w:val=""/>
      <w:lvlJc w:val="left"/>
      <w:pPr>
        <w:ind w:left="4320" w:hanging="360"/>
      </w:pPr>
      <w:rPr>
        <w:rFonts w:ascii="Wingdings" w:hAnsi="Wingdings" w:hint="default"/>
      </w:rPr>
    </w:lvl>
    <w:lvl w:ilvl="6" w:tplc="AC6C461C">
      <w:start w:val="1"/>
      <w:numFmt w:val="bullet"/>
      <w:lvlText w:val=""/>
      <w:lvlJc w:val="left"/>
      <w:pPr>
        <w:ind w:left="5040" w:hanging="360"/>
      </w:pPr>
      <w:rPr>
        <w:rFonts w:ascii="Symbol" w:hAnsi="Symbol" w:hint="default"/>
      </w:rPr>
    </w:lvl>
    <w:lvl w:ilvl="7" w:tplc="026A030A">
      <w:start w:val="1"/>
      <w:numFmt w:val="bullet"/>
      <w:lvlText w:val="o"/>
      <w:lvlJc w:val="left"/>
      <w:pPr>
        <w:ind w:left="5760" w:hanging="360"/>
      </w:pPr>
      <w:rPr>
        <w:rFonts w:ascii="Courier New" w:hAnsi="Courier New" w:hint="default"/>
      </w:rPr>
    </w:lvl>
    <w:lvl w:ilvl="8" w:tplc="EB666C50">
      <w:start w:val="1"/>
      <w:numFmt w:val="bullet"/>
      <w:lvlText w:val=""/>
      <w:lvlJc w:val="left"/>
      <w:pPr>
        <w:ind w:left="6480" w:hanging="360"/>
      </w:pPr>
      <w:rPr>
        <w:rFonts w:ascii="Wingdings" w:hAnsi="Wingdings" w:hint="default"/>
      </w:rPr>
    </w:lvl>
  </w:abstractNum>
  <w:abstractNum w:abstractNumId="13" w15:restartNumberingAfterBreak="0">
    <w:nsid w:val="25B12349"/>
    <w:multiLevelType w:val="hybridMultilevel"/>
    <w:tmpl w:val="FFFFFFFF"/>
    <w:lvl w:ilvl="0" w:tplc="CCC072EE">
      <w:start w:val="1"/>
      <w:numFmt w:val="decimal"/>
      <w:lvlText w:val="%1."/>
      <w:lvlJc w:val="left"/>
      <w:pPr>
        <w:ind w:left="720" w:hanging="360"/>
      </w:pPr>
    </w:lvl>
    <w:lvl w:ilvl="1" w:tplc="77E4ED9A">
      <w:start w:val="1"/>
      <w:numFmt w:val="lowerLetter"/>
      <w:lvlText w:val="%2."/>
      <w:lvlJc w:val="left"/>
      <w:pPr>
        <w:ind w:left="1440" w:hanging="360"/>
      </w:pPr>
    </w:lvl>
    <w:lvl w:ilvl="2" w:tplc="ED2EBFD8">
      <w:start w:val="1"/>
      <w:numFmt w:val="lowerRoman"/>
      <w:lvlText w:val="%3."/>
      <w:lvlJc w:val="right"/>
      <w:pPr>
        <w:ind w:left="2160" w:hanging="180"/>
      </w:pPr>
    </w:lvl>
    <w:lvl w:ilvl="3" w:tplc="4F04A1B2">
      <w:start w:val="1"/>
      <w:numFmt w:val="decimal"/>
      <w:lvlText w:val="%4."/>
      <w:lvlJc w:val="left"/>
      <w:pPr>
        <w:ind w:left="2880" w:hanging="360"/>
      </w:pPr>
    </w:lvl>
    <w:lvl w:ilvl="4" w:tplc="A0B8328A">
      <w:start w:val="1"/>
      <w:numFmt w:val="lowerLetter"/>
      <w:lvlText w:val="%5."/>
      <w:lvlJc w:val="left"/>
      <w:pPr>
        <w:ind w:left="3600" w:hanging="360"/>
      </w:pPr>
    </w:lvl>
    <w:lvl w:ilvl="5" w:tplc="4A3E9D14">
      <w:start w:val="1"/>
      <w:numFmt w:val="lowerRoman"/>
      <w:lvlText w:val="%6."/>
      <w:lvlJc w:val="right"/>
      <w:pPr>
        <w:ind w:left="4320" w:hanging="180"/>
      </w:pPr>
    </w:lvl>
    <w:lvl w:ilvl="6" w:tplc="ABE63648">
      <w:start w:val="1"/>
      <w:numFmt w:val="decimal"/>
      <w:lvlText w:val="%7."/>
      <w:lvlJc w:val="left"/>
      <w:pPr>
        <w:ind w:left="5040" w:hanging="360"/>
      </w:pPr>
    </w:lvl>
    <w:lvl w:ilvl="7" w:tplc="ED74111A">
      <w:start w:val="1"/>
      <w:numFmt w:val="lowerLetter"/>
      <w:lvlText w:val="%8."/>
      <w:lvlJc w:val="left"/>
      <w:pPr>
        <w:ind w:left="5760" w:hanging="360"/>
      </w:pPr>
    </w:lvl>
    <w:lvl w:ilvl="8" w:tplc="9878DB12">
      <w:start w:val="1"/>
      <w:numFmt w:val="lowerRoman"/>
      <w:lvlText w:val="%9."/>
      <w:lvlJc w:val="right"/>
      <w:pPr>
        <w:ind w:left="6480" w:hanging="180"/>
      </w:pPr>
    </w:lvl>
  </w:abstractNum>
  <w:abstractNum w:abstractNumId="14" w15:restartNumberingAfterBreak="0">
    <w:nsid w:val="262341FE"/>
    <w:multiLevelType w:val="hybridMultilevel"/>
    <w:tmpl w:val="B9FCA222"/>
    <w:lvl w:ilvl="0" w:tplc="7D743508">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27290D0C"/>
    <w:multiLevelType w:val="hybridMultilevel"/>
    <w:tmpl w:val="7C6A5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234D5"/>
    <w:multiLevelType w:val="hybridMultilevel"/>
    <w:tmpl w:val="39E6826E"/>
    <w:lvl w:ilvl="0" w:tplc="5D4451D0">
      <w:start w:val="1"/>
      <w:numFmt w:val="bullet"/>
      <w:lvlText w:val=""/>
      <w:lvlJc w:val="left"/>
      <w:pPr>
        <w:ind w:left="720" w:hanging="360"/>
      </w:pPr>
      <w:rPr>
        <w:rFonts w:ascii="Symbol" w:hAnsi="Symbol" w:hint="default"/>
      </w:rPr>
    </w:lvl>
    <w:lvl w:ilvl="1" w:tplc="0C161598">
      <w:start w:val="1"/>
      <w:numFmt w:val="bullet"/>
      <w:lvlText w:val="o"/>
      <w:lvlJc w:val="left"/>
      <w:pPr>
        <w:ind w:left="1440" w:hanging="360"/>
      </w:pPr>
      <w:rPr>
        <w:rFonts w:ascii="Courier New" w:hAnsi="Courier New" w:hint="default"/>
      </w:rPr>
    </w:lvl>
    <w:lvl w:ilvl="2" w:tplc="E848934E">
      <w:start w:val="1"/>
      <w:numFmt w:val="bullet"/>
      <w:lvlText w:val=""/>
      <w:lvlJc w:val="left"/>
      <w:pPr>
        <w:ind w:left="2160" w:hanging="360"/>
      </w:pPr>
      <w:rPr>
        <w:rFonts w:ascii="Wingdings" w:hAnsi="Wingdings" w:hint="default"/>
      </w:rPr>
    </w:lvl>
    <w:lvl w:ilvl="3" w:tplc="9E220BAA">
      <w:start w:val="1"/>
      <w:numFmt w:val="bullet"/>
      <w:lvlText w:val=""/>
      <w:lvlJc w:val="left"/>
      <w:pPr>
        <w:ind w:left="2880" w:hanging="360"/>
      </w:pPr>
      <w:rPr>
        <w:rFonts w:ascii="Symbol" w:hAnsi="Symbol" w:hint="default"/>
      </w:rPr>
    </w:lvl>
    <w:lvl w:ilvl="4" w:tplc="DC86B744">
      <w:start w:val="1"/>
      <w:numFmt w:val="bullet"/>
      <w:lvlText w:val="o"/>
      <w:lvlJc w:val="left"/>
      <w:pPr>
        <w:ind w:left="3600" w:hanging="360"/>
      </w:pPr>
      <w:rPr>
        <w:rFonts w:ascii="Courier New" w:hAnsi="Courier New" w:hint="default"/>
      </w:rPr>
    </w:lvl>
    <w:lvl w:ilvl="5" w:tplc="1DA239A0">
      <w:start w:val="1"/>
      <w:numFmt w:val="bullet"/>
      <w:lvlText w:val=""/>
      <w:lvlJc w:val="left"/>
      <w:pPr>
        <w:ind w:left="4320" w:hanging="360"/>
      </w:pPr>
      <w:rPr>
        <w:rFonts w:ascii="Wingdings" w:hAnsi="Wingdings" w:hint="default"/>
      </w:rPr>
    </w:lvl>
    <w:lvl w:ilvl="6" w:tplc="20F0D9AE">
      <w:start w:val="1"/>
      <w:numFmt w:val="bullet"/>
      <w:lvlText w:val=""/>
      <w:lvlJc w:val="left"/>
      <w:pPr>
        <w:ind w:left="5040" w:hanging="360"/>
      </w:pPr>
      <w:rPr>
        <w:rFonts w:ascii="Symbol" w:hAnsi="Symbol" w:hint="default"/>
      </w:rPr>
    </w:lvl>
    <w:lvl w:ilvl="7" w:tplc="822EB982">
      <w:start w:val="1"/>
      <w:numFmt w:val="bullet"/>
      <w:lvlText w:val="o"/>
      <w:lvlJc w:val="left"/>
      <w:pPr>
        <w:ind w:left="5760" w:hanging="360"/>
      </w:pPr>
      <w:rPr>
        <w:rFonts w:ascii="Courier New" w:hAnsi="Courier New" w:hint="default"/>
      </w:rPr>
    </w:lvl>
    <w:lvl w:ilvl="8" w:tplc="558C4C0E">
      <w:start w:val="1"/>
      <w:numFmt w:val="bullet"/>
      <w:lvlText w:val=""/>
      <w:lvlJc w:val="left"/>
      <w:pPr>
        <w:ind w:left="6480" w:hanging="360"/>
      </w:pPr>
      <w:rPr>
        <w:rFonts w:ascii="Wingdings" w:hAnsi="Wingdings" w:hint="default"/>
      </w:rPr>
    </w:lvl>
  </w:abstractNum>
  <w:abstractNum w:abstractNumId="17" w15:restartNumberingAfterBreak="0">
    <w:nsid w:val="2DED1292"/>
    <w:multiLevelType w:val="hybridMultilevel"/>
    <w:tmpl w:val="00A6448E"/>
    <w:lvl w:ilvl="0" w:tplc="04070017">
      <w:start w:val="1"/>
      <w:numFmt w:val="lowerLetter"/>
      <w:lvlText w:val="%1)"/>
      <w:lvlJc w:val="left"/>
      <w:pPr>
        <w:ind w:left="720" w:hanging="360"/>
      </w:pPr>
    </w:lvl>
    <w:lvl w:ilvl="1" w:tplc="8B1675E2">
      <w:start w:val="1"/>
      <w:numFmt w:val="lowerLetter"/>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F04DC8"/>
    <w:multiLevelType w:val="hybridMultilevel"/>
    <w:tmpl w:val="4F46AD2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219BD"/>
    <w:multiLevelType w:val="hybridMultilevel"/>
    <w:tmpl w:val="7A00BDA6"/>
    <w:lvl w:ilvl="0" w:tplc="2C0067A6">
      <w:start w:val="1"/>
      <w:numFmt w:val="decimal"/>
      <w:lvlText w:val="%1."/>
      <w:lvlJc w:val="left"/>
      <w:pPr>
        <w:ind w:left="720" w:hanging="360"/>
      </w:pPr>
      <w:rPr>
        <w:rFonts w:asciiTheme="minorHAnsi" w:eastAsia="Times New Roman"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D60FB"/>
    <w:multiLevelType w:val="hybridMultilevel"/>
    <w:tmpl w:val="82F6B06C"/>
    <w:lvl w:ilvl="0" w:tplc="8D209308">
      <w:start w:val="1"/>
      <w:numFmt w:val="bullet"/>
      <w:lvlText w:val=""/>
      <w:lvlJc w:val="left"/>
      <w:pPr>
        <w:ind w:left="720" w:hanging="360"/>
      </w:pPr>
      <w:rPr>
        <w:rFonts w:ascii="Symbol" w:hAnsi="Symbol" w:hint="default"/>
      </w:rPr>
    </w:lvl>
    <w:lvl w:ilvl="1" w:tplc="29AC150A">
      <w:start w:val="1"/>
      <w:numFmt w:val="bullet"/>
      <w:lvlText w:val=""/>
      <w:lvlJc w:val="left"/>
      <w:pPr>
        <w:ind w:left="1440" w:hanging="360"/>
      </w:pPr>
      <w:rPr>
        <w:rFonts w:ascii="Symbol" w:hAnsi="Symbol" w:hint="default"/>
      </w:rPr>
    </w:lvl>
    <w:lvl w:ilvl="2" w:tplc="9690BD28">
      <w:start w:val="1"/>
      <w:numFmt w:val="bullet"/>
      <w:lvlText w:val=""/>
      <w:lvlJc w:val="left"/>
      <w:pPr>
        <w:ind w:left="2160" w:hanging="360"/>
      </w:pPr>
      <w:rPr>
        <w:rFonts w:ascii="Wingdings" w:hAnsi="Wingdings" w:hint="default"/>
      </w:rPr>
    </w:lvl>
    <w:lvl w:ilvl="3" w:tplc="28CEDFF6">
      <w:start w:val="1"/>
      <w:numFmt w:val="bullet"/>
      <w:lvlText w:val=""/>
      <w:lvlJc w:val="left"/>
      <w:pPr>
        <w:ind w:left="2880" w:hanging="360"/>
      </w:pPr>
      <w:rPr>
        <w:rFonts w:ascii="Symbol" w:hAnsi="Symbol" w:hint="default"/>
      </w:rPr>
    </w:lvl>
    <w:lvl w:ilvl="4" w:tplc="9920C582">
      <w:start w:val="1"/>
      <w:numFmt w:val="bullet"/>
      <w:lvlText w:val="o"/>
      <w:lvlJc w:val="left"/>
      <w:pPr>
        <w:ind w:left="3600" w:hanging="360"/>
      </w:pPr>
      <w:rPr>
        <w:rFonts w:ascii="Courier New" w:hAnsi="Courier New" w:hint="default"/>
      </w:rPr>
    </w:lvl>
    <w:lvl w:ilvl="5" w:tplc="86969D4C">
      <w:start w:val="1"/>
      <w:numFmt w:val="bullet"/>
      <w:lvlText w:val=""/>
      <w:lvlJc w:val="left"/>
      <w:pPr>
        <w:ind w:left="4320" w:hanging="360"/>
      </w:pPr>
      <w:rPr>
        <w:rFonts w:ascii="Wingdings" w:hAnsi="Wingdings" w:hint="default"/>
      </w:rPr>
    </w:lvl>
    <w:lvl w:ilvl="6" w:tplc="E08E349E">
      <w:start w:val="1"/>
      <w:numFmt w:val="bullet"/>
      <w:lvlText w:val=""/>
      <w:lvlJc w:val="left"/>
      <w:pPr>
        <w:ind w:left="5040" w:hanging="360"/>
      </w:pPr>
      <w:rPr>
        <w:rFonts w:ascii="Symbol" w:hAnsi="Symbol" w:hint="default"/>
      </w:rPr>
    </w:lvl>
    <w:lvl w:ilvl="7" w:tplc="1850F64E">
      <w:start w:val="1"/>
      <w:numFmt w:val="bullet"/>
      <w:lvlText w:val="o"/>
      <w:lvlJc w:val="left"/>
      <w:pPr>
        <w:ind w:left="5760" w:hanging="360"/>
      </w:pPr>
      <w:rPr>
        <w:rFonts w:ascii="Courier New" w:hAnsi="Courier New" w:hint="default"/>
      </w:rPr>
    </w:lvl>
    <w:lvl w:ilvl="8" w:tplc="C44AD4C8">
      <w:start w:val="1"/>
      <w:numFmt w:val="bullet"/>
      <w:lvlText w:val=""/>
      <w:lvlJc w:val="left"/>
      <w:pPr>
        <w:ind w:left="6480" w:hanging="360"/>
      </w:pPr>
      <w:rPr>
        <w:rFonts w:ascii="Wingdings" w:hAnsi="Wingdings" w:hint="default"/>
      </w:rPr>
    </w:lvl>
  </w:abstractNum>
  <w:abstractNum w:abstractNumId="21" w15:restartNumberingAfterBreak="0">
    <w:nsid w:val="4A2C3311"/>
    <w:multiLevelType w:val="hybridMultilevel"/>
    <w:tmpl w:val="00A6448E"/>
    <w:lvl w:ilvl="0" w:tplc="04070017">
      <w:start w:val="1"/>
      <w:numFmt w:val="lowerLetter"/>
      <w:lvlText w:val="%1)"/>
      <w:lvlJc w:val="left"/>
      <w:pPr>
        <w:ind w:left="720" w:hanging="360"/>
      </w:pPr>
    </w:lvl>
    <w:lvl w:ilvl="1" w:tplc="8B1675E2">
      <w:start w:val="1"/>
      <w:numFmt w:val="lowerLetter"/>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02542C"/>
    <w:multiLevelType w:val="hybridMultilevel"/>
    <w:tmpl w:val="B42CAE86"/>
    <w:lvl w:ilvl="0" w:tplc="C4B841D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4E764AB0"/>
    <w:multiLevelType w:val="hybridMultilevel"/>
    <w:tmpl w:val="28165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54A59"/>
    <w:multiLevelType w:val="hybridMultilevel"/>
    <w:tmpl w:val="0D18D676"/>
    <w:lvl w:ilvl="0" w:tplc="0D00F770">
      <w:start w:val="1"/>
      <w:numFmt w:val="bullet"/>
      <w:lvlText w:val=""/>
      <w:lvlJc w:val="left"/>
      <w:pPr>
        <w:ind w:left="720" w:hanging="360"/>
      </w:pPr>
      <w:rPr>
        <w:rFonts w:ascii="Symbol" w:hAnsi="Symbol" w:hint="default"/>
      </w:rPr>
    </w:lvl>
    <w:lvl w:ilvl="1" w:tplc="33E8B948">
      <w:start w:val="1"/>
      <w:numFmt w:val="bullet"/>
      <w:lvlText w:val="o"/>
      <w:lvlJc w:val="left"/>
      <w:pPr>
        <w:ind w:left="1440" w:hanging="360"/>
      </w:pPr>
      <w:rPr>
        <w:rFonts w:ascii="Courier New" w:hAnsi="Courier New" w:hint="default"/>
      </w:rPr>
    </w:lvl>
    <w:lvl w:ilvl="2" w:tplc="A4587626">
      <w:start w:val="1"/>
      <w:numFmt w:val="bullet"/>
      <w:lvlText w:val=""/>
      <w:lvlJc w:val="left"/>
      <w:pPr>
        <w:ind w:left="2160" w:hanging="360"/>
      </w:pPr>
      <w:rPr>
        <w:rFonts w:ascii="Wingdings" w:hAnsi="Wingdings" w:hint="default"/>
      </w:rPr>
    </w:lvl>
    <w:lvl w:ilvl="3" w:tplc="EDBCD828">
      <w:start w:val="1"/>
      <w:numFmt w:val="bullet"/>
      <w:lvlText w:val=""/>
      <w:lvlJc w:val="left"/>
      <w:pPr>
        <w:ind w:left="2880" w:hanging="360"/>
      </w:pPr>
      <w:rPr>
        <w:rFonts w:ascii="Symbol" w:hAnsi="Symbol" w:hint="default"/>
      </w:rPr>
    </w:lvl>
    <w:lvl w:ilvl="4" w:tplc="34F60ECA">
      <w:start w:val="1"/>
      <w:numFmt w:val="bullet"/>
      <w:lvlText w:val="o"/>
      <w:lvlJc w:val="left"/>
      <w:pPr>
        <w:ind w:left="3600" w:hanging="360"/>
      </w:pPr>
      <w:rPr>
        <w:rFonts w:ascii="Courier New" w:hAnsi="Courier New" w:hint="default"/>
      </w:rPr>
    </w:lvl>
    <w:lvl w:ilvl="5" w:tplc="B58E9B28">
      <w:start w:val="1"/>
      <w:numFmt w:val="bullet"/>
      <w:lvlText w:val=""/>
      <w:lvlJc w:val="left"/>
      <w:pPr>
        <w:ind w:left="4320" w:hanging="360"/>
      </w:pPr>
      <w:rPr>
        <w:rFonts w:ascii="Wingdings" w:hAnsi="Wingdings" w:hint="default"/>
      </w:rPr>
    </w:lvl>
    <w:lvl w:ilvl="6" w:tplc="BC3036B8">
      <w:start w:val="1"/>
      <w:numFmt w:val="bullet"/>
      <w:lvlText w:val=""/>
      <w:lvlJc w:val="left"/>
      <w:pPr>
        <w:ind w:left="5040" w:hanging="360"/>
      </w:pPr>
      <w:rPr>
        <w:rFonts w:ascii="Symbol" w:hAnsi="Symbol" w:hint="default"/>
      </w:rPr>
    </w:lvl>
    <w:lvl w:ilvl="7" w:tplc="B802D5B6">
      <w:start w:val="1"/>
      <w:numFmt w:val="bullet"/>
      <w:lvlText w:val="o"/>
      <w:lvlJc w:val="left"/>
      <w:pPr>
        <w:ind w:left="5760" w:hanging="360"/>
      </w:pPr>
      <w:rPr>
        <w:rFonts w:ascii="Courier New" w:hAnsi="Courier New" w:hint="default"/>
      </w:rPr>
    </w:lvl>
    <w:lvl w:ilvl="8" w:tplc="53D44992">
      <w:start w:val="1"/>
      <w:numFmt w:val="bullet"/>
      <w:lvlText w:val=""/>
      <w:lvlJc w:val="left"/>
      <w:pPr>
        <w:ind w:left="6480" w:hanging="360"/>
      </w:pPr>
      <w:rPr>
        <w:rFonts w:ascii="Wingdings" w:hAnsi="Wingdings" w:hint="default"/>
      </w:rPr>
    </w:lvl>
  </w:abstractNum>
  <w:abstractNum w:abstractNumId="25" w15:restartNumberingAfterBreak="0">
    <w:nsid w:val="563D2774"/>
    <w:multiLevelType w:val="hybridMultilevel"/>
    <w:tmpl w:val="A6602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2E2431"/>
    <w:multiLevelType w:val="hybridMultilevel"/>
    <w:tmpl w:val="6A50DF7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E23C1"/>
    <w:multiLevelType w:val="hybridMultilevel"/>
    <w:tmpl w:val="D00C0D92"/>
    <w:lvl w:ilvl="0" w:tplc="33304636">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80C6FFE"/>
    <w:multiLevelType w:val="hybridMultilevel"/>
    <w:tmpl w:val="A316F0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E6F5D2B"/>
    <w:multiLevelType w:val="hybridMultilevel"/>
    <w:tmpl w:val="E634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42449"/>
    <w:multiLevelType w:val="hybridMultilevel"/>
    <w:tmpl w:val="967EE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A153A5"/>
    <w:multiLevelType w:val="hybridMultilevel"/>
    <w:tmpl w:val="71EA995A"/>
    <w:lvl w:ilvl="0" w:tplc="BAF62418">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A4105"/>
    <w:multiLevelType w:val="multilevel"/>
    <w:tmpl w:val="0A3E2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8DF5C32"/>
    <w:multiLevelType w:val="hybridMultilevel"/>
    <w:tmpl w:val="86F85D28"/>
    <w:lvl w:ilvl="0" w:tplc="A4C22E5E">
      <w:start w:val="1"/>
      <w:numFmt w:val="lowerRoman"/>
      <w:pStyle w:val="Einrckungi"/>
      <w:lvlText w:val="(%1)"/>
      <w:lvlJc w:val="left"/>
      <w:pPr>
        <w:tabs>
          <w:tab w:val="num" w:pos="1843"/>
        </w:tabs>
        <w:ind w:left="1843"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tabs>
          <w:tab w:val="num" w:pos="1015"/>
        </w:tabs>
        <w:ind w:left="1015" w:hanging="360"/>
      </w:pPr>
    </w:lvl>
    <w:lvl w:ilvl="2" w:tplc="0407001B">
      <w:start w:val="1"/>
      <w:numFmt w:val="lowerRoman"/>
      <w:lvlText w:val="%3."/>
      <w:lvlJc w:val="right"/>
      <w:pPr>
        <w:tabs>
          <w:tab w:val="num" w:pos="1735"/>
        </w:tabs>
        <w:ind w:left="1735" w:hanging="180"/>
      </w:pPr>
    </w:lvl>
    <w:lvl w:ilvl="3" w:tplc="0407000F" w:tentative="1">
      <w:start w:val="1"/>
      <w:numFmt w:val="decimal"/>
      <w:lvlText w:val="%4."/>
      <w:lvlJc w:val="left"/>
      <w:pPr>
        <w:tabs>
          <w:tab w:val="num" w:pos="2455"/>
        </w:tabs>
        <w:ind w:left="2455" w:hanging="360"/>
      </w:pPr>
    </w:lvl>
    <w:lvl w:ilvl="4" w:tplc="04070019" w:tentative="1">
      <w:start w:val="1"/>
      <w:numFmt w:val="lowerLetter"/>
      <w:lvlText w:val="%5."/>
      <w:lvlJc w:val="left"/>
      <w:pPr>
        <w:tabs>
          <w:tab w:val="num" w:pos="3175"/>
        </w:tabs>
        <w:ind w:left="3175" w:hanging="360"/>
      </w:pPr>
    </w:lvl>
    <w:lvl w:ilvl="5" w:tplc="0407001B" w:tentative="1">
      <w:start w:val="1"/>
      <w:numFmt w:val="lowerRoman"/>
      <w:lvlText w:val="%6."/>
      <w:lvlJc w:val="right"/>
      <w:pPr>
        <w:tabs>
          <w:tab w:val="num" w:pos="3895"/>
        </w:tabs>
        <w:ind w:left="3895" w:hanging="180"/>
      </w:pPr>
    </w:lvl>
    <w:lvl w:ilvl="6" w:tplc="0407000F" w:tentative="1">
      <w:start w:val="1"/>
      <w:numFmt w:val="decimal"/>
      <w:lvlText w:val="%7."/>
      <w:lvlJc w:val="left"/>
      <w:pPr>
        <w:tabs>
          <w:tab w:val="num" w:pos="4615"/>
        </w:tabs>
        <w:ind w:left="4615" w:hanging="360"/>
      </w:pPr>
    </w:lvl>
    <w:lvl w:ilvl="7" w:tplc="04070019" w:tentative="1">
      <w:start w:val="1"/>
      <w:numFmt w:val="lowerLetter"/>
      <w:lvlText w:val="%8."/>
      <w:lvlJc w:val="left"/>
      <w:pPr>
        <w:tabs>
          <w:tab w:val="num" w:pos="5335"/>
        </w:tabs>
        <w:ind w:left="5335" w:hanging="360"/>
      </w:pPr>
    </w:lvl>
    <w:lvl w:ilvl="8" w:tplc="0407001B" w:tentative="1">
      <w:start w:val="1"/>
      <w:numFmt w:val="lowerRoman"/>
      <w:lvlText w:val="%9."/>
      <w:lvlJc w:val="right"/>
      <w:pPr>
        <w:tabs>
          <w:tab w:val="num" w:pos="6055"/>
        </w:tabs>
        <w:ind w:left="6055" w:hanging="180"/>
      </w:pPr>
    </w:lvl>
  </w:abstractNum>
  <w:abstractNum w:abstractNumId="34" w15:restartNumberingAfterBreak="0">
    <w:nsid w:val="7D417F4A"/>
    <w:multiLevelType w:val="hybridMultilevel"/>
    <w:tmpl w:val="204458B0"/>
    <w:lvl w:ilvl="0" w:tplc="B928C872">
      <w:start w:val="1"/>
      <w:numFmt w:val="decimal"/>
      <w:lvlText w:val="%1."/>
      <w:lvlJc w:val="left"/>
      <w:pPr>
        <w:ind w:left="720" w:hanging="360"/>
      </w:pPr>
    </w:lvl>
    <w:lvl w:ilvl="1" w:tplc="46E4F9BC">
      <w:start w:val="1"/>
      <w:numFmt w:val="lowerLetter"/>
      <w:lvlText w:val="%2."/>
      <w:lvlJc w:val="left"/>
      <w:pPr>
        <w:ind w:left="1440" w:hanging="360"/>
      </w:pPr>
    </w:lvl>
    <w:lvl w:ilvl="2" w:tplc="6D36215C">
      <w:start w:val="1"/>
      <w:numFmt w:val="lowerRoman"/>
      <w:lvlText w:val="%3."/>
      <w:lvlJc w:val="right"/>
      <w:pPr>
        <w:ind w:left="2160" w:hanging="180"/>
      </w:pPr>
    </w:lvl>
    <w:lvl w:ilvl="3" w:tplc="218A0478">
      <w:start w:val="1"/>
      <w:numFmt w:val="decimal"/>
      <w:lvlText w:val="%4."/>
      <w:lvlJc w:val="left"/>
      <w:pPr>
        <w:ind w:left="2880" w:hanging="360"/>
      </w:pPr>
    </w:lvl>
    <w:lvl w:ilvl="4" w:tplc="D9D07FA8">
      <w:start w:val="1"/>
      <w:numFmt w:val="lowerLetter"/>
      <w:lvlText w:val="%5."/>
      <w:lvlJc w:val="left"/>
      <w:pPr>
        <w:ind w:left="3600" w:hanging="360"/>
      </w:pPr>
    </w:lvl>
    <w:lvl w:ilvl="5" w:tplc="E4923FD6">
      <w:start w:val="1"/>
      <w:numFmt w:val="lowerRoman"/>
      <w:lvlText w:val="%6."/>
      <w:lvlJc w:val="right"/>
      <w:pPr>
        <w:ind w:left="4320" w:hanging="180"/>
      </w:pPr>
    </w:lvl>
    <w:lvl w:ilvl="6" w:tplc="5AE2E444">
      <w:start w:val="1"/>
      <w:numFmt w:val="decimal"/>
      <w:lvlText w:val="%7."/>
      <w:lvlJc w:val="left"/>
      <w:pPr>
        <w:ind w:left="5040" w:hanging="360"/>
      </w:pPr>
    </w:lvl>
    <w:lvl w:ilvl="7" w:tplc="9DDEC734">
      <w:start w:val="1"/>
      <w:numFmt w:val="lowerLetter"/>
      <w:lvlText w:val="%8."/>
      <w:lvlJc w:val="left"/>
      <w:pPr>
        <w:ind w:left="5760" w:hanging="360"/>
      </w:pPr>
    </w:lvl>
    <w:lvl w:ilvl="8" w:tplc="D054B43E">
      <w:start w:val="1"/>
      <w:numFmt w:val="lowerRoman"/>
      <w:lvlText w:val="%9."/>
      <w:lvlJc w:val="right"/>
      <w:pPr>
        <w:ind w:left="6480" w:hanging="180"/>
      </w:pPr>
    </w:lvl>
  </w:abstractNum>
  <w:num w:numId="1">
    <w:abstractNumId w:val="28"/>
  </w:num>
  <w:num w:numId="2">
    <w:abstractNumId w:val="0"/>
  </w:num>
  <w:num w:numId="3">
    <w:abstractNumId w:val="2"/>
  </w:num>
  <w:num w:numId="4">
    <w:abstractNumId w:val="22"/>
  </w:num>
  <w:num w:numId="5">
    <w:abstractNumId w:val="21"/>
  </w:num>
  <w:num w:numId="6">
    <w:abstractNumId w:val="32"/>
  </w:num>
  <w:num w:numId="7">
    <w:abstractNumId w:val="4"/>
  </w:num>
  <w:num w:numId="8">
    <w:abstractNumId w:val="17"/>
  </w:num>
  <w:num w:numId="9">
    <w:abstractNumId w:val="33"/>
  </w:num>
  <w:num w:numId="10">
    <w:abstractNumId w:val="34"/>
  </w:num>
  <w:num w:numId="11">
    <w:abstractNumId w:val="16"/>
  </w:num>
  <w:num w:numId="12">
    <w:abstractNumId w:val="3"/>
  </w:num>
  <w:num w:numId="13">
    <w:abstractNumId w:val="20"/>
  </w:num>
  <w:num w:numId="14">
    <w:abstractNumId w:val="24"/>
  </w:num>
  <w:num w:numId="15">
    <w:abstractNumId w:val="12"/>
  </w:num>
  <w:num w:numId="16">
    <w:abstractNumId w:val="7"/>
    <w:lvlOverride w:ilvl="0">
      <w:startOverride w:val="1"/>
    </w:lvlOverride>
  </w:num>
  <w:num w:numId="17">
    <w:abstractNumId w:val="1"/>
  </w:num>
  <w:num w:numId="18">
    <w:abstractNumId w:val="15"/>
  </w:num>
  <w:num w:numId="19">
    <w:abstractNumId w:val="8"/>
  </w:num>
  <w:num w:numId="20">
    <w:abstractNumId w:val="25"/>
  </w:num>
  <w:num w:numId="21">
    <w:abstractNumId w:val="29"/>
  </w:num>
  <w:num w:numId="22">
    <w:abstractNumId w:val="13"/>
  </w:num>
  <w:num w:numId="23">
    <w:abstractNumId w:val="26"/>
  </w:num>
  <w:num w:numId="24">
    <w:abstractNumId w:val="18"/>
  </w:num>
  <w:num w:numId="25">
    <w:abstractNumId w:val="27"/>
  </w:num>
  <w:num w:numId="26">
    <w:abstractNumId w:val="6"/>
  </w:num>
  <w:num w:numId="27">
    <w:abstractNumId w:val="7"/>
  </w:num>
  <w:num w:numId="28">
    <w:abstractNumId w:val="10"/>
  </w:num>
  <w:num w:numId="29">
    <w:abstractNumId w:val="19"/>
  </w:num>
  <w:num w:numId="30">
    <w:abstractNumId w:val="9"/>
  </w:num>
  <w:num w:numId="31">
    <w:abstractNumId w:val="31"/>
  </w:num>
  <w:num w:numId="32">
    <w:abstractNumId w:val="30"/>
  </w:num>
  <w:num w:numId="33">
    <w:abstractNumId w:val="23"/>
  </w:num>
  <w:num w:numId="34">
    <w:abstractNumId w:val="5"/>
  </w:num>
  <w:num w:numId="35">
    <w:abstractNumId w:val="11"/>
  </w:num>
  <w:num w:numId="3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E1"/>
    <w:rsid w:val="000127C0"/>
    <w:rsid w:val="00015B44"/>
    <w:rsid w:val="00016C1A"/>
    <w:rsid w:val="0002067F"/>
    <w:rsid w:val="0002077F"/>
    <w:rsid w:val="000224EA"/>
    <w:rsid w:val="0003788F"/>
    <w:rsid w:val="00042881"/>
    <w:rsid w:val="0004467F"/>
    <w:rsid w:val="00044C86"/>
    <w:rsid w:val="00045CC2"/>
    <w:rsid w:val="000461EB"/>
    <w:rsid w:val="000471E8"/>
    <w:rsid w:val="00047595"/>
    <w:rsid w:val="00050CBD"/>
    <w:rsid w:val="000524F4"/>
    <w:rsid w:val="0005323D"/>
    <w:rsid w:val="0005525C"/>
    <w:rsid w:val="00055747"/>
    <w:rsid w:val="00055EC9"/>
    <w:rsid w:val="000631D2"/>
    <w:rsid w:val="000663E9"/>
    <w:rsid w:val="00070D50"/>
    <w:rsid w:val="000756A0"/>
    <w:rsid w:val="0007606A"/>
    <w:rsid w:val="0008046D"/>
    <w:rsid w:val="00091D6B"/>
    <w:rsid w:val="00097D06"/>
    <w:rsid w:val="000A1D5A"/>
    <w:rsid w:val="000A4130"/>
    <w:rsid w:val="000A7D48"/>
    <w:rsid w:val="000B1D5A"/>
    <w:rsid w:val="000B66A7"/>
    <w:rsid w:val="000C0606"/>
    <w:rsid w:val="000C0891"/>
    <w:rsid w:val="000C642C"/>
    <w:rsid w:val="000C7F81"/>
    <w:rsid w:val="000D6CD5"/>
    <w:rsid w:val="000E58F4"/>
    <w:rsid w:val="000F2E45"/>
    <w:rsid w:val="000F79D6"/>
    <w:rsid w:val="0010072C"/>
    <w:rsid w:val="00101FE5"/>
    <w:rsid w:val="001061F2"/>
    <w:rsid w:val="00114F91"/>
    <w:rsid w:val="00120186"/>
    <w:rsid w:val="00130E38"/>
    <w:rsid w:val="00131126"/>
    <w:rsid w:val="00133089"/>
    <w:rsid w:val="0013437E"/>
    <w:rsid w:val="00136DBC"/>
    <w:rsid w:val="00137694"/>
    <w:rsid w:val="00143306"/>
    <w:rsid w:val="00150424"/>
    <w:rsid w:val="0015132E"/>
    <w:rsid w:val="00152B23"/>
    <w:rsid w:val="00164481"/>
    <w:rsid w:val="00174EAC"/>
    <w:rsid w:val="00176688"/>
    <w:rsid w:val="0017778E"/>
    <w:rsid w:val="00182475"/>
    <w:rsid w:val="0018678F"/>
    <w:rsid w:val="00187B23"/>
    <w:rsid w:val="00191FE5"/>
    <w:rsid w:val="0019784F"/>
    <w:rsid w:val="00197CD1"/>
    <w:rsid w:val="001A2425"/>
    <w:rsid w:val="001A31A9"/>
    <w:rsid w:val="001B2185"/>
    <w:rsid w:val="001B236F"/>
    <w:rsid w:val="001C357F"/>
    <w:rsid w:val="001C43C0"/>
    <w:rsid w:val="001D05CA"/>
    <w:rsid w:val="001D14CC"/>
    <w:rsid w:val="001E00A5"/>
    <w:rsid w:val="001E2872"/>
    <w:rsid w:val="001F0626"/>
    <w:rsid w:val="001F5B90"/>
    <w:rsid w:val="001F5DE3"/>
    <w:rsid w:val="0020179C"/>
    <w:rsid w:val="002022C0"/>
    <w:rsid w:val="002103C1"/>
    <w:rsid w:val="00214284"/>
    <w:rsid w:val="002147FD"/>
    <w:rsid w:val="00216E49"/>
    <w:rsid w:val="00217A05"/>
    <w:rsid w:val="00230669"/>
    <w:rsid w:val="00234C66"/>
    <w:rsid w:val="002363CC"/>
    <w:rsid w:val="00236E2F"/>
    <w:rsid w:val="00241DD5"/>
    <w:rsid w:val="00243C67"/>
    <w:rsid w:val="00244EE8"/>
    <w:rsid w:val="002470BC"/>
    <w:rsid w:val="0024799D"/>
    <w:rsid w:val="002500D8"/>
    <w:rsid w:val="00250E44"/>
    <w:rsid w:val="002522B8"/>
    <w:rsid w:val="00253F2A"/>
    <w:rsid w:val="00256A41"/>
    <w:rsid w:val="00266D61"/>
    <w:rsid w:val="00270EF6"/>
    <w:rsid w:val="00271151"/>
    <w:rsid w:val="00274649"/>
    <w:rsid w:val="0027572D"/>
    <w:rsid w:val="00280CD8"/>
    <w:rsid w:val="0028725D"/>
    <w:rsid w:val="00295CD3"/>
    <w:rsid w:val="002A2988"/>
    <w:rsid w:val="002A5001"/>
    <w:rsid w:val="002A55AF"/>
    <w:rsid w:val="002A6590"/>
    <w:rsid w:val="002C77BE"/>
    <w:rsid w:val="002D07EB"/>
    <w:rsid w:val="002D2976"/>
    <w:rsid w:val="002D30DE"/>
    <w:rsid w:val="002D5E11"/>
    <w:rsid w:val="002F391D"/>
    <w:rsid w:val="002F775D"/>
    <w:rsid w:val="002F7BEB"/>
    <w:rsid w:val="00301FB2"/>
    <w:rsid w:val="0030486B"/>
    <w:rsid w:val="00312320"/>
    <w:rsid w:val="0031282F"/>
    <w:rsid w:val="00314296"/>
    <w:rsid w:val="0031463F"/>
    <w:rsid w:val="00324826"/>
    <w:rsid w:val="003265BC"/>
    <w:rsid w:val="00330812"/>
    <w:rsid w:val="0033503E"/>
    <w:rsid w:val="00335754"/>
    <w:rsid w:val="003419B2"/>
    <w:rsid w:val="003440AF"/>
    <w:rsid w:val="0034763D"/>
    <w:rsid w:val="0035036A"/>
    <w:rsid w:val="00350ADC"/>
    <w:rsid w:val="00351269"/>
    <w:rsid w:val="003528BF"/>
    <w:rsid w:val="0035719D"/>
    <w:rsid w:val="00367F7C"/>
    <w:rsid w:val="003757C0"/>
    <w:rsid w:val="00376408"/>
    <w:rsid w:val="003766E5"/>
    <w:rsid w:val="0037736E"/>
    <w:rsid w:val="003842A7"/>
    <w:rsid w:val="00385ABB"/>
    <w:rsid w:val="00385D20"/>
    <w:rsid w:val="0038717E"/>
    <w:rsid w:val="003908BC"/>
    <w:rsid w:val="00390E67"/>
    <w:rsid w:val="00395AC3"/>
    <w:rsid w:val="0039612F"/>
    <w:rsid w:val="003A4138"/>
    <w:rsid w:val="003B5CB0"/>
    <w:rsid w:val="003B6634"/>
    <w:rsid w:val="003C0B7B"/>
    <w:rsid w:val="003C6277"/>
    <w:rsid w:val="003C65C4"/>
    <w:rsid w:val="003D458C"/>
    <w:rsid w:val="003D6601"/>
    <w:rsid w:val="003E250F"/>
    <w:rsid w:val="003E38C2"/>
    <w:rsid w:val="003E3FAB"/>
    <w:rsid w:val="003F0C72"/>
    <w:rsid w:val="003F1969"/>
    <w:rsid w:val="004002DA"/>
    <w:rsid w:val="00411872"/>
    <w:rsid w:val="00413101"/>
    <w:rsid w:val="00414E5A"/>
    <w:rsid w:val="00417175"/>
    <w:rsid w:val="00421B2E"/>
    <w:rsid w:val="00422FE0"/>
    <w:rsid w:val="00426D0C"/>
    <w:rsid w:val="0043217F"/>
    <w:rsid w:val="004326C6"/>
    <w:rsid w:val="00433375"/>
    <w:rsid w:val="00433F81"/>
    <w:rsid w:val="004420A4"/>
    <w:rsid w:val="00442C19"/>
    <w:rsid w:val="004525B3"/>
    <w:rsid w:val="00475E00"/>
    <w:rsid w:val="004774C2"/>
    <w:rsid w:val="00485DB5"/>
    <w:rsid w:val="0048665B"/>
    <w:rsid w:val="00487643"/>
    <w:rsid w:val="004958A1"/>
    <w:rsid w:val="004A0EF6"/>
    <w:rsid w:val="004A445C"/>
    <w:rsid w:val="004A5CC0"/>
    <w:rsid w:val="004A6251"/>
    <w:rsid w:val="004B06F9"/>
    <w:rsid w:val="004C67C3"/>
    <w:rsid w:val="004C78FC"/>
    <w:rsid w:val="004D0508"/>
    <w:rsid w:val="004D543B"/>
    <w:rsid w:val="004D7787"/>
    <w:rsid w:val="004E02B3"/>
    <w:rsid w:val="004E032B"/>
    <w:rsid w:val="004E0646"/>
    <w:rsid w:val="004E281B"/>
    <w:rsid w:val="004F031F"/>
    <w:rsid w:val="004F03B9"/>
    <w:rsid w:val="004F2522"/>
    <w:rsid w:val="004F4C86"/>
    <w:rsid w:val="004F761B"/>
    <w:rsid w:val="005000BB"/>
    <w:rsid w:val="005074B8"/>
    <w:rsid w:val="0051001D"/>
    <w:rsid w:val="00510D8E"/>
    <w:rsid w:val="00513089"/>
    <w:rsid w:val="00523142"/>
    <w:rsid w:val="00526C3A"/>
    <w:rsid w:val="005304D6"/>
    <w:rsid w:val="00542CB9"/>
    <w:rsid w:val="00542F75"/>
    <w:rsid w:val="005430D2"/>
    <w:rsid w:val="00543BAD"/>
    <w:rsid w:val="00550DA8"/>
    <w:rsid w:val="00553401"/>
    <w:rsid w:val="0055602E"/>
    <w:rsid w:val="005578D8"/>
    <w:rsid w:val="0056029B"/>
    <w:rsid w:val="00564A5A"/>
    <w:rsid w:val="005724C0"/>
    <w:rsid w:val="0057334F"/>
    <w:rsid w:val="00582D26"/>
    <w:rsid w:val="0058498C"/>
    <w:rsid w:val="005849C4"/>
    <w:rsid w:val="005909A9"/>
    <w:rsid w:val="00591FB4"/>
    <w:rsid w:val="005A0945"/>
    <w:rsid w:val="005A3ED9"/>
    <w:rsid w:val="005A65DC"/>
    <w:rsid w:val="005A7EC6"/>
    <w:rsid w:val="005B4A89"/>
    <w:rsid w:val="005B4C43"/>
    <w:rsid w:val="005B7A5E"/>
    <w:rsid w:val="005D5A2F"/>
    <w:rsid w:val="005D5C07"/>
    <w:rsid w:val="005E3698"/>
    <w:rsid w:val="005F48F0"/>
    <w:rsid w:val="0060300F"/>
    <w:rsid w:val="00604F47"/>
    <w:rsid w:val="00605312"/>
    <w:rsid w:val="0060550B"/>
    <w:rsid w:val="006068B9"/>
    <w:rsid w:val="0061205C"/>
    <w:rsid w:val="00616629"/>
    <w:rsid w:val="0061797A"/>
    <w:rsid w:val="00632255"/>
    <w:rsid w:val="0063234D"/>
    <w:rsid w:val="00632711"/>
    <w:rsid w:val="00634148"/>
    <w:rsid w:val="0063551B"/>
    <w:rsid w:val="00646C72"/>
    <w:rsid w:val="00647496"/>
    <w:rsid w:val="0065077A"/>
    <w:rsid w:val="00653C0D"/>
    <w:rsid w:val="00656720"/>
    <w:rsid w:val="0066181A"/>
    <w:rsid w:val="00661D44"/>
    <w:rsid w:val="0067239B"/>
    <w:rsid w:val="0067492A"/>
    <w:rsid w:val="00676D37"/>
    <w:rsid w:val="00676FC9"/>
    <w:rsid w:val="00693621"/>
    <w:rsid w:val="006969B1"/>
    <w:rsid w:val="00696D67"/>
    <w:rsid w:val="006A16D2"/>
    <w:rsid w:val="006A1B2B"/>
    <w:rsid w:val="006B215C"/>
    <w:rsid w:val="006B2B2E"/>
    <w:rsid w:val="006B3876"/>
    <w:rsid w:val="006B5EFB"/>
    <w:rsid w:val="006D6101"/>
    <w:rsid w:val="006D618E"/>
    <w:rsid w:val="006E0200"/>
    <w:rsid w:val="006E0B60"/>
    <w:rsid w:val="006E123C"/>
    <w:rsid w:val="006E16C8"/>
    <w:rsid w:val="006E6128"/>
    <w:rsid w:val="006E63B4"/>
    <w:rsid w:val="006F4309"/>
    <w:rsid w:val="006F454B"/>
    <w:rsid w:val="006F467B"/>
    <w:rsid w:val="006F5685"/>
    <w:rsid w:val="006F767C"/>
    <w:rsid w:val="0070748F"/>
    <w:rsid w:val="00710315"/>
    <w:rsid w:val="0073441C"/>
    <w:rsid w:val="0073761D"/>
    <w:rsid w:val="0074027E"/>
    <w:rsid w:val="007406FE"/>
    <w:rsid w:val="00747B68"/>
    <w:rsid w:val="00751420"/>
    <w:rsid w:val="00754442"/>
    <w:rsid w:val="007570B1"/>
    <w:rsid w:val="00764F89"/>
    <w:rsid w:val="00767535"/>
    <w:rsid w:val="007706AE"/>
    <w:rsid w:val="0077348C"/>
    <w:rsid w:val="00780A4B"/>
    <w:rsid w:val="00781731"/>
    <w:rsid w:val="00784978"/>
    <w:rsid w:val="00791F50"/>
    <w:rsid w:val="00791F87"/>
    <w:rsid w:val="007A123E"/>
    <w:rsid w:val="007A244E"/>
    <w:rsid w:val="007A5C5C"/>
    <w:rsid w:val="007A7974"/>
    <w:rsid w:val="007A7D78"/>
    <w:rsid w:val="007B01E8"/>
    <w:rsid w:val="007B0923"/>
    <w:rsid w:val="007C3140"/>
    <w:rsid w:val="007C66E0"/>
    <w:rsid w:val="007D012B"/>
    <w:rsid w:val="007D0313"/>
    <w:rsid w:val="007D2C2B"/>
    <w:rsid w:val="007D641C"/>
    <w:rsid w:val="007E0914"/>
    <w:rsid w:val="007E6244"/>
    <w:rsid w:val="007F2EF4"/>
    <w:rsid w:val="0080116B"/>
    <w:rsid w:val="00802D5E"/>
    <w:rsid w:val="008031F1"/>
    <w:rsid w:val="00804E87"/>
    <w:rsid w:val="0080550A"/>
    <w:rsid w:val="00820A74"/>
    <w:rsid w:val="00827D6A"/>
    <w:rsid w:val="00833C22"/>
    <w:rsid w:val="0083429F"/>
    <w:rsid w:val="00837995"/>
    <w:rsid w:val="00845381"/>
    <w:rsid w:val="00861D7E"/>
    <w:rsid w:val="00864B65"/>
    <w:rsid w:val="00866D1E"/>
    <w:rsid w:val="008674F3"/>
    <w:rsid w:val="00871A2A"/>
    <w:rsid w:val="00874E7C"/>
    <w:rsid w:val="008763D6"/>
    <w:rsid w:val="00880219"/>
    <w:rsid w:val="00882A27"/>
    <w:rsid w:val="00887D52"/>
    <w:rsid w:val="008954AC"/>
    <w:rsid w:val="00895507"/>
    <w:rsid w:val="008955F0"/>
    <w:rsid w:val="008A3562"/>
    <w:rsid w:val="008B4255"/>
    <w:rsid w:val="008B4611"/>
    <w:rsid w:val="008C33A5"/>
    <w:rsid w:val="008C48CB"/>
    <w:rsid w:val="008C5B0D"/>
    <w:rsid w:val="008C620C"/>
    <w:rsid w:val="008C7CD0"/>
    <w:rsid w:val="008D14C0"/>
    <w:rsid w:val="008D2BFE"/>
    <w:rsid w:val="008D470A"/>
    <w:rsid w:val="008E39C8"/>
    <w:rsid w:val="008E46BF"/>
    <w:rsid w:val="008E5FFB"/>
    <w:rsid w:val="008F3A54"/>
    <w:rsid w:val="008F5EC9"/>
    <w:rsid w:val="008F6254"/>
    <w:rsid w:val="00901C38"/>
    <w:rsid w:val="009053B8"/>
    <w:rsid w:val="009061C8"/>
    <w:rsid w:val="00916554"/>
    <w:rsid w:val="009165BE"/>
    <w:rsid w:val="00922650"/>
    <w:rsid w:val="00924356"/>
    <w:rsid w:val="009266CB"/>
    <w:rsid w:val="0093001E"/>
    <w:rsid w:val="0093376F"/>
    <w:rsid w:val="009451B3"/>
    <w:rsid w:val="00957F5E"/>
    <w:rsid w:val="009605C8"/>
    <w:rsid w:val="00963956"/>
    <w:rsid w:val="00973353"/>
    <w:rsid w:val="00977475"/>
    <w:rsid w:val="00981983"/>
    <w:rsid w:val="00981B89"/>
    <w:rsid w:val="00981CDC"/>
    <w:rsid w:val="00987D5F"/>
    <w:rsid w:val="009A0158"/>
    <w:rsid w:val="009A6CB3"/>
    <w:rsid w:val="009A7542"/>
    <w:rsid w:val="009B186A"/>
    <w:rsid w:val="009B36B8"/>
    <w:rsid w:val="009C0497"/>
    <w:rsid w:val="009C365B"/>
    <w:rsid w:val="009D0049"/>
    <w:rsid w:val="009D1D6C"/>
    <w:rsid w:val="009E25D0"/>
    <w:rsid w:val="009E5DB6"/>
    <w:rsid w:val="009E60EE"/>
    <w:rsid w:val="009F6A63"/>
    <w:rsid w:val="00A16171"/>
    <w:rsid w:val="00A1627B"/>
    <w:rsid w:val="00A16770"/>
    <w:rsid w:val="00A213E6"/>
    <w:rsid w:val="00A24476"/>
    <w:rsid w:val="00A27F79"/>
    <w:rsid w:val="00A40043"/>
    <w:rsid w:val="00A4218A"/>
    <w:rsid w:val="00A434F1"/>
    <w:rsid w:val="00A47477"/>
    <w:rsid w:val="00A5253B"/>
    <w:rsid w:val="00A67538"/>
    <w:rsid w:val="00A77871"/>
    <w:rsid w:val="00A902AC"/>
    <w:rsid w:val="00A93EAA"/>
    <w:rsid w:val="00A95228"/>
    <w:rsid w:val="00A96472"/>
    <w:rsid w:val="00A9789F"/>
    <w:rsid w:val="00A97E49"/>
    <w:rsid w:val="00AA16DD"/>
    <w:rsid w:val="00AA2410"/>
    <w:rsid w:val="00AA2CEB"/>
    <w:rsid w:val="00AA3BBB"/>
    <w:rsid w:val="00AA4813"/>
    <w:rsid w:val="00AA5F08"/>
    <w:rsid w:val="00AB1530"/>
    <w:rsid w:val="00AB3CBE"/>
    <w:rsid w:val="00AB5B90"/>
    <w:rsid w:val="00AB5EAB"/>
    <w:rsid w:val="00AC0919"/>
    <w:rsid w:val="00AC17B6"/>
    <w:rsid w:val="00AC2F05"/>
    <w:rsid w:val="00AC5B5B"/>
    <w:rsid w:val="00AC709C"/>
    <w:rsid w:val="00AC74D7"/>
    <w:rsid w:val="00AC76A5"/>
    <w:rsid w:val="00AD1710"/>
    <w:rsid w:val="00AD26D7"/>
    <w:rsid w:val="00AD4C14"/>
    <w:rsid w:val="00AE56EE"/>
    <w:rsid w:val="00AE7368"/>
    <w:rsid w:val="00AF666A"/>
    <w:rsid w:val="00AF7E03"/>
    <w:rsid w:val="00B01FAC"/>
    <w:rsid w:val="00B02134"/>
    <w:rsid w:val="00B17171"/>
    <w:rsid w:val="00B2092D"/>
    <w:rsid w:val="00B23C20"/>
    <w:rsid w:val="00B244D6"/>
    <w:rsid w:val="00B25861"/>
    <w:rsid w:val="00B25C44"/>
    <w:rsid w:val="00B40CFB"/>
    <w:rsid w:val="00B41025"/>
    <w:rsid w:val="00B45F09"/>
    <w:rsid w:val="00B46BB9"/>
    <w:rsid w:val="00B473E7"/>
    <w:rsid w:val="00B4760E"/>
    <w:rsid w:val="00B476D2"/>
    <w:rsid w:val="00B47E9D"/>
    <w:rsid w:val="00B51A60"/>
    <w:rsid w:val="00B56503"/>
    <w:rsid w:val="00B571B6"/>
    <w:rsid w:val="00B63275"/>
    <w:rsid w:val="00B654C6"/>
    <w:rsid w:val="00B73D25"/>
    <w:rsid w:val="00B746DA"/>
    <w:rsid w:val="00B7630B"/>
    <w:rsid w:val="00B77F94"/>
    <w:rsid w:val="00B80ECA"/>
    <w:rsid w:val="00B816AB"/>
    <w:rsid w:val="00B914A4"/>
    <w:rsid w:val="00BC0BEB"/>
    <w:rsid w:val="00BC295F"/>
    <w:rsid w:val="00BC7918"/>
    <w:rsid w:val="00BD168F"/>
    <w:rsid w:val="00BD278C"/>
    <w:rsid w:val="00BD77F6"/>
    <w:rsid w:val="00BE01FB"/>
    <w:rsid w:val="00BE10B8"/>
    <w:rsid w:val="00BE1279"/>
    <w:rsid w:val="00BE2572"/>
    <w:rsid w:val="00BE28FE"/>
    <w:rsid w:val="00BE7422"/>
    <w:rsid w:val="00C030A0"/>
    <w:rsid w:val="00C060EA"/>
    <w:rsid w:val="00C1453D"/>
    <w:rsid w:val="00C172A2"/>
    <w:rsid w:val="00C2339E"/>
    <w:rsid w:val="00C43DB1"/>
    <w:rsid w:val="00C43DF6"/>
    <w:rsid w:val="00C46C7B"/>
    <w:rsid w:val="00C4733A"/>
    <w:rsid w:val="00C5002E"/>
    <w:rsid w:val="00C609CD"/>
    <w:rsid w:val="00C613B2"/>
    <w:rsid w:val="00C6293B"/>
    <w:rsid w:val="00C63D7B"/>
    <w:rsid w:val="00C775AA"/>
    <w:rsid w:val="00C77996"/>
    <w:rsid w:val="00C80249"/>
    <w:rsid w:val="00C8382B"/>
    <w:rsid w:val="00C8573B"/>
    <w:rsid w:val="00C85D39"/>
    <w:rsid w:val="00C8730D"/>
    <w:rsid w:val="00C91B44"/>
    <w:rsid w:val="00C95D0D"/>
    <w:rsid w:val="00CA3D69"/>
    <w:rsid w:val="00CA4066"/>
    <w:rsid w:val="00CA7370"/>
    <w:rsid w:val="00CA7C4E"/>
    <w:rsid w:val="00CB604B"/>
    <w:rsid w:val="00CD191B"/>
    <w:rsid w:val="00CD679B"/>
    <w:rsid w:val="00CE0771"/>
    <w:rsid w:val="00CE39E8"/>
    <w:rsid w:val="00CE4751"/>
    <w:rsid w:val="00CE7BB8"/>
    <w:rsid w:val="00D00763"/>
    <w:rsid w:val="00D042A9"/>
    <w:rsid w:val="00D04B2A"/>
    <w:rsid w:val="00D065A4"/>
    <w:rsid w:val="00D11B65"/>
    <w:rsid w:val="00D11FCA"/>
    <w:rsid w:val="00D268DB"/>
    <w:rsid w:val="00D27251"/>
    <w:rsid w:val="00D4619A"/>
    <w:rsid w:val="00D521A3"/>
    <w:rsid w:val="00D52D9E"/>
    <w:rsid w:val="00D6125F"/>
    <w:rsid w:val="00D62B26"/>
    <w:rsid w:val="00D673D3"/>
    <w:rsid w:val="00D74491"/>
    <w:rsid w:val="00D7569A"/>
    <w:rsid w:val="00D8005C"/>
    <w:rsid w:val="00D83445"/>
    <w:rsid w:val="00D9032B"/>
    <w:rsid w:val="00D92CA6"/>
    <w:rsid w:val="00D954F7"/>
    <w:rsid w:val="00D96030"/>
    <w:rsid w:val="00DA20BF"/>
    <w:rsid w:val="00DB0077"/>
    <w:rsid w:val="00DB132F"/>
    <w:rsid w:val="00DB2B74"/>
    <w:rsid w:val="00DD1175"/>
    <w:rsid w:val="00DD1A67"/>
    <w:rsid w:val="00DD2C5C"/>
    <w:rsid w:val="00DD4C7D"/>
    <w:rsid w:val="00DE073F"/>
    <w:rsid w:val="00DE238F"/>
    <w:rsid w:val="00DF3EDC"/>
    <w:rsid w:val="00DF6EDA"/>
    <w:rsid w:val="00E144B2"/>
    <w:rsid w:val="00E17961"/>
    <w:rsid w:val="00E377E7"/>
    <w:rsid w:val="00E37F29"/>
    <w:rsid w:val="00E44563"/>
    <w:rsid w:val="00E449DD"/>
    <w:rsid w:val="00E56920"/>
    <w:rsid w:val="00E71472"/>
    <w:rsid w:val="00E728B0"/>
    <w:rsid w:val="00E75EA0"/>
    <w:rsid w:val="00E7698E"/>
    <w:rsid w:val="00E76BEB"/>
    <w:rsid w:val="00E81F2F"/>
    <w:rsid w:val="00E823F8"/>
    <w:rsid w:val="00E86639"/>
    <w:rsid w:val="00E90C03"/>
    <w:rsid w:val="00E91FE1"/>
    <w:rsid w:val="00E92178"/>
    <w:rsid w:val="00E92CA6"/>
    <w:rsid w:val="00E94CCA"/>
    <w:rsid w:val="00EA124C"/>
    <w:rsid w:val="00EA197F"/>
    <w:rsid w:val="00EA6F85"/>
    <w:rsid w:val="00EB16D5"/>
    <w:rsid w:val="00EB18A6"/>
    <w:rsid w:val="00EB2644"/>
    <w:rsid w:val="00EB7DDE"/>
    <w:rsid w:val="00EC2288"/>
    <w:rsid w:val="00EC2FE4"/>
    <w:rsid w:val="00ED35BC"/>
    <w:rsid w:val="00ED4336"/>
    <w:rsid w:val="00F02DAA"/>
    <w:rsid w:val="00F0510F"/>
    <w:rsid w:val="00F05E71"/>
    <w:rsid w:val="00F12971"/>
    <w:rsid w:val="00F12C3C"/>
    <w:rsid w:val="00F14FF5"/>
    <w:rsid w:val="00F20591"/>
    <w:rsid w:val="00F22F70"/>
    <w:rsid w:val="00F23BA5"/>
    <w:rsid w:val="00F25BF3"/>
    <w:rsid w:val="00F27F43"/>
    <w:rsid w:val="00F3618C"/>
    <w:rsid w:val="00F42046"/>
    <w:rsid w:val="00F43132"/>
    <w:rsid w:val="00F5553F"/>
    <w:rsid w:val="00F674D2"/>
    <w:rsid w:val="00F72E61"/>
    <w:rsid w:val="00F72F50"/>
    <w:rsid w:val="00F75660"/>
    <w:rsid w:val="00F76034"/>
    <w:rsid w:val="00F82037"/>
    <w:rsid w:val="00F82E8E"/>
    <w:rsid w:val="00F83437"/>
    <w:rsid w:val="00F84045"/>
    <w:rsid w:val="00F86DBB"/>
    <w:rsid w:val="00F927F7"/>
    <w:rsid w:val="00F93EC2"/>
    <w:rsid w:val="00F9605A"/>
    <w:rsid w:val="00F96464"/>
    <w:rsid w:val="00FA2351"/>
    <w:rsid w:val="00FA2FA5"/>
    <w:rsid w:val="00FA6108"/>
    <w:rsid w:val="00FB5668"/>
    <w:rsid w:val="00FC0548"/>
    <w:rsid w:val="00FC5639"/>
    <w:rsid w:val="00FC5899"/>
    <w:rsid w:val="00FC6B09"/>
    <w:rsid w:val="00FE0ACC"/>
    <w:rsid w:val="00FE36B4"/>
    <w:rsid w:val="00FE3ECF"/>
    <w:rsid w:val="00FE5037"/>
    <w:rsid w:val="00FE53B2"/>
    <w:rsid w:val="00FF12E0"/>
    <w:rsid w:val="00FF66A4"/>
    <w:rsid w:val="739229E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AD2FD7"/>
  <w15:docId w15:val="{3D01D06E-1A72-4C25-AAC7-7744DEE5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tLeast"/>
    </w:pPr>
    <w:rPr>
      <w:rFonts w:ascii="Arial" w:hAnsi="Arial"/>
      <w:sz w:val="24"/>
    </w:rPr>
  </w:style>
  <w:style w:type="paragraph" w:styleId="Heading1">
    <w:name w:val="heading 1"/>
    <w:basedOn w:val="Normal"/>
    <w:next w:val="Normal"/>
    <w:link w:val="Heading1Char"/>
    <w:qFormat/>
    <w:pPr>
      <w:spacing w:before="240" w:after="240"/>
      <w:outlineLvl w:val="0"/>
    </w:pPr>
    <w:rPr>
      <w:b/>
      <w:sz w:val="28"/>
    </w:rPr>
  </w:style>
  <w:style w:type="paragraph" w:styleId="Heading2">
    <w:name w:val="heading 2"/>
    <w:basedOn w:val="Normal"/>
    <w:next w:val="Normal"/>
    <w:link w:val="Heading2Char"/>
    <w:qFormat/>
    <w:pPr>
      <w:spacing w:before="120" w:after="120"/>
      <w:outlineLvl w:val="1"/>
    </w:pPr>
    <w:rPr>
      <w:b/>
    </w:rPr>
  </w:style>
  <w:style w:type="paragraph" w:styleId="Heading3">
    <w:name w:val="heading 3"/>
    <w:basedOn w:val="Normal"/>
    <w:next w:val="NormalIndent"/>
    <w:link w:val="Heading3Char"/>
    <w:qFormat/>
    <w:pPr>
      <w:outlineLvl w:val="2"/>
    </w:pPr>
    <w:rPr>
      <w:b/>
    </w:rPr>
  </w:style>
  <w:style w:type="paragraph" w:styleId="Heading4">
    <w:name w:val="heading 4"/>
    <w:basedOn w:val="Normal"/>
    <w:next w:val="Normal"/>
    <w:link w:val="Heading4Char"/>
    <w:qFormat/>
    <w:rsid w:val="00F72F50"/>
    <w:pPr>
      <w:keepNext/>
      <w:widowControl w:val="0"/>
      <w:spacing w:after="540" w:line="240" w:lineRule="auto"/>
      <w:ind w:left="116"/>
      <w:jc w:val="both"/>
      <w:outlineLvl w:val="3"/>
    </w:pPr>
    <w:rPr>
      <w:b/>
      <w:spacing w:val="15"/>
      <w:sz w:val="28"/>
      <w:szCs w:val="24"/>
      <w:lang w:val="en-US" w:eastAsia="en-US"/>
    </w:rPr>
  </w:style>
  <w:style w:type="paragraph" w:styleId="Heading5">
    <w:name w:val="heading 5"/>
    <w:basedOn w:val="Normal"/>
    <w:next w:val="Normal"/>
    <w:link w:val="Heading5Char"/>
    <w:qFormat/>
    <w:rsid w:val="00F72F50"/>
    <w:pPr>
      <w:keepNext/>
      <w:pBdr>
        <w:top w:val="single" w:sz="4" w:space="1" w:color="auto"/>
        <w:left w:val="single" w:sz="4" w:space="4" w:color="auto"/>
        <w:bottom w:val="single" w:sz="4" w:space="1" w:color="auto"/>
        <w:right w:val="single" w:sz="4" w:space="4" w:color="auto"/>
      </w:pBdr>
      <w:spacing w:before="120" w:after="120" w:line="240" w:lineRule="auto"/>
      <w:jc w:val="center"/>
      <w:outlineLvl w:val="4"/>
    </w:pPr>
    <w:rPr>
      <w:b/>
      <w:bCs/>
      <w:szCs w:val="24"/>
      <w:lang w:val="en-GB" w:eastAsia="en-US"/>
    </w:rPr>
  </w:style>
  <w:style w:type="paragraph" w:styleId="Heading6">
    <w:name w:val="heading 6"/>
    <w:basedOn w:val="Normal"/>
    <w:next w:val="Normal"/>
    <w:link w:val="Heading6Char"/>
    <w:semiHidden/>
    <w:unhideWhenUsed/>
    <w:qFormat/>
    <w:rsid w:val="00F72F50"/>
    <w:pPr>
      <w:spacing w:before="240" w:after="60" w:line="240" w:lineRule="auto"/>
      <w:jc w:val="both"/>
      <w:outlineLvl w:val="5"/>
    </w:pPr>
    <w:rPr>
      <w:rFonts w:ascii="Calibri" w:hAnsi="Calibri"/>
      <w:b/>
      <w:bCs/>
      <w:sz w:val="22"/>
      <w:szCs w:val="22"/>
      <w:lang w:val="en-GB" w:eastAsia="en-US"/>
    </w:rPr>
  </w:style>
  <w:style w:type="paragraph" w:styleId="Heading7">
    <w:name w:val="heading 7"/>
    <w:basedOn w:val="Normal"/>
    <w:next w:val="Normal"/>
    <w:link w:val="Heading7Char"/>
    <w:unhideWhenUsed/>
    <w:qFormat/>
    <w:rsid w:val="00F72F50"/>
    <w:pPr>
      <w:spacing w:before="240" w:after="60" w:line="240" w:lineRule="auto"/>
      <w:jc w:val="both"/>
      <w:outlineLvl w:val="6"/>
    </w:pPr>
    <w:rPr>
      <w:rFonts w:ascii="Calibri" w:hAnsi="Calibri"/>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rPr>
  </w:style>
  <w:style w:type="paragraph" w:styleId="CommentText">
    <w:name w:val="annotation text"/>
    <w:basedOn w:val="Normal"/>
    <w:link w:val="CommentTextChar"/>
    <w:pPr>
      <w:spacing w:line="240" w:lineRule="atLeast"/>
      <w:ind w:left="851" w:hanging="851"/>
    </w:pPr>
    <w:rPr>
      <w:sz w:val="20"/>
    </w:rPr>
  </w:style>
  <w:style w:type="paragraph" w:styleId="Footer">
    <w:name w:val="footer"/>
    <w:basedOn w:val="Normal"/>
    <w:link w:val="FooterChar"/>
    <w:uiPriority w:val="99"/>
    <w:pPr>
      <w:spacing w:line="240" w:lineRule="atLeast"/>
    </w:pPr>
    <w:rPr>
      <w:sz w:val="20"/>
    </w:rPr>
  </w:style>
  <w:style w:type="paragraph" w:styleId="Header">
    <w:name w:val="header"/>
    <w:basedOn w:val="Normal"/>
    <w:link w:val="HeaderChar"/>
    <w:uiPriority w:val="99"/>
    <w:pPr>
      <w:spacing w:line="240" w:lineRule="exact"/>
    </w:pPr>
    <w:rPr>
      <w:sz w:val="20"/>
    </w:rPr>
  </w:style>
  <w:style w:type="paragraph" w:styleId="NormalIndent">
    <w:name w:val="Normal Indent"/>
    <w:basedOn w:val="Normal"/>
    <w:pPr>
      <w:ind w:left="708"/>
    </w:pPr>
  </w:style>
  <w:style w:type="paragraph" w:customStyle="1" w:styleId="TextfrKfW">
    <w:name w:val="Text für KfW"/>
    <w:basedOn w:val="Normal"/>
    <w:pPr>
      <w:tabs>
        <w:tab w:val="left" w:pos="851"/>
        <w:tab w:val="left" w:pos="1418"/>
        <w:tab w:val="left" w:pos="2127"/>
      </w:tabs>
      <w:spacing w:after="240"/>
    </w:pPr>
  </w:style>
  <w:style w:type="paragraph" w:customStyle="1" w:styleId="Einrckung1">
    <w:name w:val="Einrückung 1"/>
    <w:basedOn w:val="Normal"/>
    <w:pPr>
      <w:ind w:left="851" w:hanging="851"/>
    </w:pPr>
  </w:style>
  <w:style w:type="paragraph" w:customStyle="1" w:styleId="Einrckung2">
    <w:name w:val="Einrückung 2"/>
    <w:basedOn w:val="Normal"/>
    <w:uiPriority w:val="99"/>
    <w:pPr>
      <w:ind w:left="1701" w:hanging="851"/>
    </w:pPr>
  </w:style>
  <w:style w:type="paragraph" w:customStyle="1" w:styleId="Einrckung3">
    <w:name w:val="Einrückung 3"/>
    <w:basedOn w:val="Normal"/>
    <w:pPr>
      <w:ind w:left="2552" w:hanging="851"/>
    </w:pPr>
  </w:style>
  <w:style w:type="paragraph" w:customStyle="1" w:styleId="briefkopf">
    <w:name w:val="briefkopf"/>
    <w:basedOn w:val="Normal"/>
    <w:pPr>
      <w:spacing w:before="1440" w:after="1200" w:line="240" w:lineRule="exact"/>
    </w:pPr>
  </w:style>
  <w:style w:type="paragraph" w:customStyle="1" w:styleId="betreff">
    <w:name w:val="betreff"/>
    <w:basedOn w:val="Normal"/>
    <w:next w:val="anrede"/>
    <w:pPr>
      <w:spacing w:after="480"/>
      <w:ind w:left="1276" w:hanging="1276"/>
    </w:pPr>
    <w:rPr>
      <w:b/>
    </w:rPr>
  </w:style>
  <w:style w:type="paragraph" w:customStyle="1" w:styleId="anrede">
    <w:name w:val="anrede"/>
    <w:basedOn w:val="Normal"/>
    <w:next w:val="TextfrKfW"/>
    <w:pPr>
      <w:spacing w:after="240"/>
    </w:pPr>
  </w:style>
  <w:style w:type="paragraph" w:styleId="BalloonText">
    <w:name w:val="Balloon Text"/>
    <w:basedOn w:val="Normal"/>
    <w:link w:val="BalloonTextChar"/>
    <w:semiHidden/>
    <w:rsid w:val="002A5001"/>
    <w:rPr>
      <w:rFonts w:ascii="Tahoma" w:hAnsi="Tahoma" w:cs="Tahoma"/>
      <w:sz w:val="16"/>
      <w:szCs w:val="16"/>
    </w:rPr>
  </w:style>
  <w:style w:type="paragraph" w:styleId="CommentSubject">
    <w:name w:val="annotation subject"/>
    <w:basedOn w:val="CommentText"/>
    <w:next w:val="CommentText"/>
    <w:link w:val="CommentSubjectChar"/>
    <w:rsid w:val="00091D6B"/>
    <w:pPr>
      <w:spacing w:line="240" w:lineRule="auto"/>
      <w:ind w:left="0" w:firstLine="0"/>
    </w:pPr>
    <w:rPr>
      <w:b/>
      <w:bCs/>
    </w:rPr>
  </w:style>
  <w:style w:type="character" w:customStyle="1" w:styleId="CommentTextChar">
    <w:name w:val="Comment Text Char"/>
    <w:basedOn w:val="DefaultParagraphFont"/>
    <w:link w:val="CommentText"/>
    <w:rsid w:val="00091D6B"/>
    <w:rPr>
      <w:rFonts w:ascii="Arial" w:hAnsi="Arial"/>
    </w:rPr>
  </w:style>
  <w:style w:type="character" w:customStyle="1" w:styleId="CommentSubjectChar">
    <w:name w:val="Comment Subject Char"/>
    <w:basedOn w:val="CommentTextChar"/>
    <w:link w:val="CommentSubject"/>
    <w:rsid w:val="00091D6B"/>
    <w:rPr>
      <w:rFonts w:ascii="Arial" w:hAnsi="Arial"/>
      <w:b/>
      <w:bCs/>
    </w:rPr>
  </w:style>
  <w:style w:type="character" w:customStyle="1" w:styleId="DeltaViewInsertion">
    <w:name w:val="DeltaView Insertion"/>
    <w:uiPriority w:val="99"/>
    <w:rsid w:val="00973353"/>
    <w:rPr>
      <w:color w:val="0000FF"/>
      <w:u w:val="double"/>
    </w:rPr>
  </w:style>
  <w:style w:type="paragraph" w:styleId="Revision">
    <w:name w:val="Revision"/>
    <w:hidden/>
    <w:uiPriority w:val="99"/>
    <w:semiHidden/>
    <w:rsid w:val="005430D2"/>
    <w:rPr>
      <w:rFonts w:ascii="Arial" w:hAnsi="Arial"/>
      <w:sz w:val="24"/>
    </w:rPr>
  </w:style>
  <w:style w:type="paragraph" w:styleId="ListParagraph">
    <w:name w:val="List Paragraph"/>
    <w:aliases w:val="Listenabsatz1,Premier,COMESA Text 2,Bullets,List Paragraph (numbered (a)),Scriptoria bullet points,Bullet List,FooterText,List Paragraph1,Colorful List Accent 1,numbered,Paragraphe de liste1,列出段落,列出段落1,Bulletr List Paragraph"/>
    <w:basedOn w:val="Normal"/>
    <w:link w:val="ListParagraphChar"/>
    <w:uiPriority w:val="34"/>
    <w:qFormat/>
    <w:rsid w:val="00B473E7"/>
    <w:pPr>
      <w:ind w:left="720"/>
      <w:contextualSpacing/>
    </w:pPr>
  </w:style>
  <w:style w:type="character" w:styleId="Hyperlink">
    <w:name w:val="Hyperlink"/>
    <w:basedOn w:val="DefaultParagraphFont"/>
    <w:uiPriority w:val="99"/>
    <w:rsid w:val="005000BB"/>
    <w:rPr>
      <w:rFonts w:cs="Times New Roman"/>
      <w:color w:val="0000FF"/>
      <w:u w:val="single"/>
    </w:rPr>
  </w:style>
  <w:style w:type="paragraph" w:customStyle="1" w:styleId="Default">
    <w:name w:val="Default"/>
    <w:rsid w:val="00421B2E"/>
    <w:pPr>
      <w:autoSpaceDE w:val="0"/>
      <w:autoSpaceDN w:val="0"/>
      <w:adjustRightInd w:val="0"/>
    </w:pPr>
    <w:rPr>
      <w:rFonts w:ascii="Arial" w:eastAsia="Calibri" w:hAnsi="Arial" w:cs="Arial"/>
      <w:color w:val="000000"/>
      <w:sz w:val="24"/>
      <w:szCs w:val="24"/>
    </w:rPr>
  </w:style>
  <w:style w:type="paragraph" w:customStyle="1" w:styleId="Listenabsatz2">
    <w:name w:val="Listenabsatz 2"/>
    <w:basedOn w:val="Normal"/>
    <w:rsid w:val="00AD1710"/>
    <w:pPr>
      <w:spacing w:before="120" w:after="240" w:line="320" w:lineRule="atLeast"/>
      <w:jc w:val="both"/>
    </w:pPr>
    <w:rPr>
      <w:sz w:val="22"/>
    </w:rPr>
  </w:style>
  <w:style w:type="character" w:customStyle="1" w:styleId="HeaderChar">
    <w:name w:val="Header Char"/>
    <w:basedOn w:val="DefaultParagraphFont"/>
    <w:link w:val="Header"/>
    <w:uiPriority w:val="99"/>
    <w:rsid w:val="00747B68"/>
    <w:rPr>
      <w:rFonts w:ascii="Arial" w:hAnsi="Arial"/>
    </w:rPr>
  </w:style>
  <w:style w:type="paragraph" w:styleId="PlainText">
    <w:name w:val="Plain Text"/>
    <w:basedOn w:val="Normal"/>
    <w:link w:val="PlainTextChar1"/>
    <w:uiPriority w:val="99"/>
    <w:unhideWhenUsed/>
    <w:rsid w:val="00216E49"/>
    <w:pPr>
      <w:spacing w:line="240" w:lineRule="auto"/>
    </w:pPr>
    <w:rPr>
      <w:rFonts w:ascii="Calibri" w:eastAsiaTheme="minorHAnsi" w:hAnsi="Calibri"/>
      <w:sz w:val="22"/>
      <w:szCs w:val="22"/>
      <w:lang w:eastAsia="en-US"/>
    </w:rPr>
  </w:style>
  <w:style w:type="character" w:customStyle="1" w:styleId="PlainTextChar1">
    <w:name w:val="Plain Text Char1"/>
    <w:basedOn w:val="DefaultParagraphFont"/>
    <w:link w:val="PlainText"/>
    <w:uiPriority w:val="99"/>
    <w:rsid w:val="00216E49"/>
    <w:rPr>
      <w:rFonts w:ascii="Calibri" w:eastAsiaTheme="minorHAnsi" w:hAnsi="Calibri"/>
      <w:sz w:val="22"/>
      <w:szCs w:val="22"/>
      <w:lang w:eastAsia="en-US"/>
    </w:rPr>
  </w:style>
  <w:style w:type="paragraph" w:customStyle="1" w:styleId="Einrckungi">
    <w:name w:val="Einrückung (i)"/>
    <w:basedOn w:val="Normal"/>
    <w:next w:val="Normal"/>
    <w:rsid w:val="009E5DB6"/>
    <w:pPr>
      <w:numPr>
        <w:numId w:val="9"/>
      </w:numPr>
      <w:spacing w:before="240" w:after="240" w:line="320" w:lineRule="exact"/>
      <w:jc w:val="both"/>
    </w:pPr>
    <w:rPr>
      <w:sz w:val="22"/>
      <w:lang w:eastAsia="en-US"/>
    </w:rPr>
  </w:style>
  <w:style w:type="character" w:customStyle="1" w:styleId="Heading4Char">
    <w:name w:val="Heading 4 Char"/>
    <w:basedOn w:val="DefaultParagraphFont"/>
    <w:link w:val="Heading4"/>
    <w:rsid w:val="00F72F50"/>
    <w:rPr>
      <w:rFonts w:ascii="Arial" w:hAnsi="Arial"/>
      <w:b/>
      <w:spacing w:val="15"/>
      <w:sz w:val="28"/>
      <w:szCs w:val="24"/>
      <w:lang w:val="en-US" w:eastAsia="en-US"/>
    </w:rPr>
  </w:style>
  <w:style w:type="character" w:customStyle="1" w:styleId="Heading5Char">
    <w:name w:val="Heading 5 Char"/>
    <w:basedOn w:val="DefaultParagraphFont"/>
    <w:link w:val="Heading5"/>
    <w:rsid w:val="00F72F50"/>
    <w:rPr>
      <w:rFonts w:ascii="Arial" w:hAnsi="Arial"/>
      <w:b/>
      <w:bCs/>
      <w:sz w:val="24"/>
      <w:szCs w:val="24"/>
      <w:lang w:val="en-GB" w:eastAsia="en-US"/>
    </w:rPr>
  </w:style>
  <w:style w:type="character" w:customStyle="1" w:styleId="Heading6Char">
    <w:name w:val="Heading 6 Char"/>
    <w:basedOn w:val="DefaultParagraphFont"/>
    <w:link w:val="Heading6"/>
    <w:uiPriority w:val="9"/>
    <w:rsid w:val="00F72F50"/>
    <w:rPr>
      <w:rFonts w:ascii="Calibri" w:hAnsi="Calibri"/>
      <w:b/>
      <w:bCs/>
      <w:sz w:val="22"/>
      <w:szCs w:val="22"/>
      <w:lang w:val="en-GB" w:eastAsia="en-US"/>
    </w:rPr>
  </w:style>
  <w:style w:type="character" w:customStyle="1" w:styleId="Heading7Char">
    <w:name w:val="Heading 7 Char"/>
    <w:basedOn w:val="DefaultParagraphFont"/>
    <w:link w:val="Heading7"/>
    <w:rsid w:val="00F72F50"/>
    <w:rPr>
      <w:rFonts w:ascii="Calibri" w:hAnsi="Calibri"/>
      <w:sz w:val="24"/>
      <w:szCs w:val="24"/>
      <w:lang w:val="en-GB" w:eastAsia="en-US"/>
    </w:rPr>
  </w:style>
  <w:style w:type="numbering" w:customStyle="1" w:styleId="KeineListe1">
    <w:name w:val="Keine Liste1"/>
    <w:next w:val="NoList"/>
    <w:uiPriority w:val="99"/>
    <w:semiHidden/>
    <w:unhideWhenUsed/>
    <w:rsid w:val="00F72F50"/>
  </w:style>
  <w:style w:type="character" w:customStyle="1" w:styleId="Heading1Char">
    <w:name w:val="Heading 1 Char"/>
    <w:basedOn w:val="DefaultParagraphFont"/>
    <w:link w:val="Heading1"/>
    <w:rsid w:val="00F72F50"/>
    <w:rPr>
      <w:rFonts w:ascii="Arial" w:hAnsi="Arial"/>
      <w:b/>
      <w:sz w:val="28"/>
    </w:rPr>
  </w:style>
  <w:style w:type="character" w:customStyle="1" w:styleId="Heading2Char">
    <w:name w:val="Heading 2 Char"/>
    <w:basedOn w:val="DefaultParagraphFont"/>
    <w:link w:val="Heading2"/>
    <w:rsid w:val="00F72F50"/>
    <w:rPr>
      <w:rFonts w:ascii="Arial" w:hAnsi="Arial"/>
      <w:b/>
      <w:sz w:val="24"/>
    </w:rPr>
  </w:style>
  <w:style w:type="character" w:customStyle="1" w:styleId="Heading3Char">
    <w:name w:val="Heading 3 Char"/>
    <w:basedOn w:val="DefaultParagraphFont"/>
    <w:link w:val="Heading3"/>
    <w:rsid w:val="00F72F50"/>
    <w:rPr>
      <w:rFonts w:ascii="Arial" w:hAnsi="Arial"/>
      <w:b/>
      <w:sz w:val="24"/>
    </w:rPr>
  </w:style>
  <w:style w:type="character" w:customStyle="1" w:styleId="FooterChar">
    <w:name w:val="Footer Char"/>
    <w:basedOn w:val="DefaultParagraphFont"/>
    <w:link w:val="Footer"/>
    <w:uiPriority w:val="99"/>
    <w:rsid w:val="00F72F50"/>
    <w:rPr>
      <w:rFonts w:ascii="Arial" w:hAnsi="Arial"/>
    </w:rPr>
  </w:style>
  <w:style w:type="character" w:styleId="PageNumber">
    <w:name w:val="page number"/>
    <w:basedOn w:val="DefaultParagraphFont"/>
    <w:rsid w:val="00F72F50"/>
  </w:style>
  <w:style w:type="paragraph" w:styleId="FootnoteText">
    <w:name w:val="footnote text"/>
    <w:aliases w:val="FOOTNOTES,fn,single space,ALTS FOOTNOTE,ft,ADB,Footnote Text Char1,Footnote Text Char Char,Footnote,Char Char Char Char1,Char Char Char Char Char Char Char Char Char,Char Char Char Char Char Char Char Char Char Char Char,A,paragraph,Car"/>
    <w:basedOn w:val="Normal"/>
    <w:link w:val="FootnoteTextChar"/>
    <w:uiPriority w:val="99"/>
    <w:qFormat/>
    <w:rsid w:val="00F72F50"/>
    <w:pPr>
      <w:widowControl w:val="0"/>
      <w:spacing w:after="60" w:line="240" w:lineRule="auto"/>
      <w:jc w:val="both"/>
    </w:pPr>
    <w:rPr>
      <w:rFonts w:ascii="Courier" w:hAnsi="Courier"/>
      <w:sz w:val="22"/>
      <w:lang w:val="en-US" w:eastAsia="en-US"/>
    </w:rPr>
  </w:style>
  <w:style w:type="character" w:customStyle="1" w:styleId="FootnoteTextChar">
    <w:name w:val="Footnote Text Char"/>
    <w:aliases w:val="FOOTNOTES Char,fn Char,single space Char,ALTS FOOTNOTE Char,ft Char,ADB Char,Footnote Text Char1 Char,Footnote Text Char Char Char,Footnote Char,Char Char Char Char1 Char,Char Char Char Char Char Char Char Char Char Char,A Char"/>
    <w:basedOn w:val="DefaultParagraphFont"/>
    <w:link w:val="FootnoteText"/>
    <w:uiPriority w:val="99"/>
    <w:rsid w:val="00F72F50"/>
    <w:rPr>
      <w:rFonts w:ascii="Courier" w:hAnsi="Courier"/>
      <w:sz w:val="22"/>
      <w:lang w:val="en-US" w:eastAsia="en-US"/>
    </w:rPr>
  </w:style>
  <w:style w:type="paragraph" w:styleId="BodyText3">
    <w:name w:val="Body Text 3"/>
    <w:basedOn w:val="Normal"/>
    <w:link w:val="BodyText3Char"/>
    <w:rsid w:val="00F72F50"/>
    <w:pPr>
      <w:spacing w:after="60" w:line="240" w:lineRule="auto"/>
      <w:jc w:val="both"/>
    </w:pPr>
    <w:rPr>
      <w:sz w:val="22"/>
      <w:lang w:val="en-US" w:eastAsia="en-US"/>
    </w:rPr>
  </w:style>
  <w:style w:type="character" w:customStyle="1" w:styleId="BodyText3Char">
    <w:name w:val="Body Text 3 Char"/>
    <w:basedOn w:val="DefaultParagraphFont"/>
    <w:link w:val="BodyText3"/>
    <w:rsid w:val="00F72F50"/>
    <w:rPr>
      <w:rFonts w:ascii="Arial" w:hAnsi="Arial"/>
      <w:sz w:val="22"/>
      <w:lang w:val="en-US" w:eastAsia="en-US"/>
    </w:rPr>
  </w:style>
  <w:style w:type="paragraph" w:styleId="BodyTextIndent">
    <w:name w:val="Body Text Indent"/>
    <w:basedOn w:val="Normal"/>
    <w:link w:val="BodyTextIndentChar"/>
    <w:rsid w:val="00F72F50"/>
    <w:pPr>
      <w:tabs>
        <w:tab w:val="left" w:pos="360"/>
      </w:tabs>
      <w:spacing w:after="60" w:line="240" w:lineRule="auto"/>
      <w:jc w:val="both"/>
    </w:pPr>
    <w:rPr>
      <w:b/>
      <w:i/>
      <w:sz w:val="28"/>
      <w:lang w:val="en-US" w:eastAsia="en-US"/>
    </w:rPr>
  </w:style>
  <w:style w:type="character" w:customStyle="1" w:styleId="BodyTextIndentChar">
    <w:name w:val="Body Text Indent Char"/>
    <w:basedOn w:val="DefaultParagraphFont"/>
    <w:link w:val="BodyTextIndent"/>
    <w:rsid w:val="00F72F50"/>
    <w:rPr>
      <w:rFonts w:ascii="Arial" w:hAnsi="Arial"/>
      <w:b/>
      <w:i/>
      <w:sz w:val="28"/>
      <w:lang w:val="en-US" w:eastAsia="en-US"/>
    </w:rPr>
  </w:style>
  <w:style w:type="character" w:styleId="FollowedHyperlink">
    <w:name w:val="FollowedHyperlink"/>
    <w:rsid w:val="00F72F50"/>
    <w:rPr>
      <w:color w:val="800080"/>
      <w:u w:val="single"/>
    </w:rPr>
  </w:style>
  <w:style w:type="paragraph" w:styleId="BodyText">
    <w:name w:val="Body Text"/>
    <w:basedOn w:val="Normal"/>
    <w:link w:val="BodyTextChar"/>
    <w:rsid w:val="00F72F50"/>
    <w:pPr>
      <w:pBdr>
        <w:bottom w:val="single" w:sz="4" w:space="1" w:color="auto"/>
      </w:pBdr>
      <w:spacing w:after="60" w:line="240" w:lineRule="auto"/>
      <w:jc w:val="both"/>
    </w:pPr>
    <w:rPr>
      <w:rFonts w:ascii="Arial Narrow" w:hAnsi="Arial Narrow"/>
      <w:i/>
      <w:iCs/>
      <w:sz w:val="22"/>
      <w:szCs w:val="24"/>
      <w:lang w:val="en-GB" w:eastAsia="en-US"/>
    </w:rPr>
  </w:style>
  <w:style w:type="character" w:customStyle="1" w:styleId="BodyTextChar">
    <w:name w:val="Body Text Char"/>
    <w:basedOn w:val="DefaultParagraphFont"/>
    <w:link w:val="BodyText"/>
    <w:rsid w:val="00F72F50"/>
    <w:rPr>
      <w:rFonts w:ascii="Arial Narrow" w:hAnsi="Arial Narrow"/>
      <w:i/>
      <w:iCs/>
      <w:sz w:val="22"/>
      <w:szCs w:val="24"/>
      <w:lang w:val="en-GB" w:eastAsia="en-US"/>
    </w:rPr>
  </w:style>
  <w:style w:type="paragraph" w:styleId="BodyText2">
    <w:name w:val="Body Text 2"/>
    <w:basedOn w:val="Normal"/>
    <w:link w:val="BodyText2Char"/>
    <w:rsid w:val="00F72F50"/>
    <w:pPr>
      <w:spacing w:before="120" w:after="120" w:line="240" w:lineRule="auto"/>
      <w:jc w:val="both"/>
    </w:pPr>
    <w:rPr>
      <w:rFonts w:ascii="Arial Narrow" w:hAnsi="Arial Narrow"/>
      <w:sz w:val="22"/>
      <w:szCs w:val="24"/>
      <w:lang w:val="en-GB" w:eastAsia="en-US"/>
    </w:rPr>
  </w:style>
  <w:style w:type="character" w:customStyle="1" w:styleId="BodyText2Char">
    <w:name w:val="Body Text 2 Char"/>
    <w:basedOn w:val="DefaultParagraphFont"/>
    <w:link w:val="BodyText2"/>
    <w:rsid w:val="00F72F50"/>
    <w:rPr>
      <w:rFonts w:ascii="Arial Narrow" w:hAnsi="Arial Narrow"/>
      <w:sz w:val="22"/>
      <w:szCs w:val="24"/>
      <w:lang w:val="en-GB" w:eastAsia="en-US"/>
    </w:rPr>
  </w:style>
  <w:style w:type="character" w:customStyle="1" w:styleId="BalloonTextChar">
    <w:name w:val="Balloon Text Char"/>
    <w:basedOn w:val="DefaultParagraphFont"/>
    <w:link w:val="BalloonText"/>
    <w:semiHidden/>
    <w:rsid w:val="00F72F50"/>
    <w:rPr>
      <w:rFonts w:ascii="Tahoma" w:hAnsi="Tahoma" w:cs="Tahoma"/>
      <w:sz w:val="16"/>
      <w:szCs w:val="16"/>
    </w:rPr>
  </w:style>
  <w:style w:type="table" w:styleId="TableGrid">
    <w:name w:val="Table Grid"/>
    <w:basedOn w:val="TableNormal"/>
    <w:uiPriority w:val="39"/>
    <w:rsid w:val="00F7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72F50"/>
    <w:pPr>
      <w:spacing w:before="100" w:beforeAutospacing="1" w:after="100" w:afterAutospacing="1" w:line="240" w:lineRule="auto"/>
      <w:jc w:val="both"/>
    </w:pPr>
    <w:rPr>
      <w:rFonts w:ascii="Times New Roman" w:hAnsi="Times New Roman"/>
      <w:szCs w:val="24"/>
      <w:lang w:val="en-US" w:eastAsia="en-US"/>
    </w:rPr>
  </w:style>
  <w:style w:type="character" w:styleId="Emphasis">
    <w:name w:val="Emphasis"/>
    <w:qFormat/>
    <w:rsid w:val="00F72F50"/>
    <w:rPr>
      <w:i/>
      <w:iCs/>
    </w:rPr>
  </w:style>
  <w:style w:type="character" w:styleId="FootnoteReference">
    <w:name w:val="footnote reference"/>
    <w:aliases w:val="BVI fnr Char Char Char Char Char,BVI fnr Car Car Char Char Char Char Char,BVI fnr Car Char Char Char Char Char,BVI fnr Car Car Car Car Char1 Char Char Char Char,BVI fnr Car Car Car Car Char Car Char Char Char Char Char,16 Point,ftref"/>
    <w:link w:val="BVIfnrCharCharCharChar"/>
    <w:qFormat/>
    <w:rsid w:val="00F72F50"/>
    <w:rPr>
      <w:rFonts w:ascii="Arial" w:hAnsi="Arial"/>
      <w:sz w:val="18"/>
      <w:vertAlign w:val="superscript"/>
    </w:rPr>
  </w:style>
  <w:style w:type="paragraph" w:customStyle="1" w:styleId="Char">
    <w:name w:val="Char"/>
    <w:basedOn w:val="Heading2"/>
    <w:rsid w:val="00F72F50"/>
    <w:pPr>
      <w:keepNext/>
      <w:pageBreakBefore/>
      <w:tabs>
        <w:tab w:val="left" w:pos="850"/>
        <w:tab w:val="left" w:pos="1191"/>
        <w:tab w:val="left" w:pos="1531"/>
      </w:tabs>
      <w:spacing w:before="0" w:after="60" w:line="240" w:lineRule="auto"/>
      <w:jc w:val="center"/>
    </w:pPr>
    <w:rPr>
      <w:rFonts w:ascii="Tahoma" w:hAnsi="Tahoma" w:cs="Tahoma"/>
      <w:color w:val="FFFFFF"/>
      <w:spacing w:val="20"/>
      <w:sz w:val="22"/>
      <w:szCs w:val="22"/>
      <w:lang w:val="en-GB" w:eastAsia="zh-CN"/>
    </w:rPr>
  </w:style>
  <w:style w:type="paragraph" w:customStyle="1" w:styleId="ColorfulList-Accent11">
    <w:name w:val="Colorful List - Accent 11"/>
    <w:aliases w:val="Lapis Bulleted List"/>
    <w:basedOn w:val="Normal"/>
    <w:link w:val="ColorfulList-Accent1Char"/>
    <w:qFormat/>
    <w:rsid w:val="00F72F50"/>
    <w:pPr>
      <w:spacing w:line="240" w:lineRule="auto"/>
      <w:ind w:left="720"/>
    </w:pPr>
    <w:rPr>
      <w:rFonts w:ascii="Times New Roman" w:hAnsi="Times New Roman"/>
      <w:szCs w:val="24"/>
      <w:lang w:val="en-US" w:eastAsia="en-US"/>
    </w:rPr>
  </w:style>
  <w:style w:type="paragraph" w:styleId="Title">
    <w:name w:val="Title"/>
    <w:basedOn w:val="Normal"/>
    <w:link w:val="TitleChar"/>
    <w:qFormat/>
    <w:rsid w:val="00F72F50"/>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cs="Arial"/>
      <w:b/>
      <w:bCs/>
      <w:kern w:val="28"/>
      <w:sz w:val="32"/>
      <w:szCs w:val="32"/>
      <w:lang w:val="en-GB" w:eastAsia="en-US"/>
    </w:rPr>
  </w:style>
  <w:style w:type="character" w:customStyle="1" w:styleId="TitleChar">
    <w:name w:val="Title Char"/>
    <w:basedOn w:val="DefaultParagraphFont"/>
    <w:link w:val="Title"/>
    <w:rsid w:val="00F72F50"/>
    <w:rPr>
      <w:rFonts w:ascii="Arial" w:hAnsi="Arial" w:cs="Arial"/>
      <w:b/>
      <w:bCs/>
      <w:kern w:val="28"/>
      <w:sz w:val="32"/>
      <w:szCs w:val="32"/>
      <w:lang w:val="en-GB" w:eastAsia="en-US"/>
    </w:rPr>
  </w:style>
  <w:style w:type="paragraph" w:customStyle="1" w:styleId="CharCharChar1">
    <w:name w:val="Char Char Char1"/>
    <w:basedOn w:val="Normal"/>
    <w:rsid w:val="00F72F50"/>
    <w:pPr>
      <w:spacing w:after="160" w:line="240" w:lineRule="exact"/>
    </w:pPr>
    <w:rPr>
      <w:rFonts w:cs="Arial"/>
      <w:sz w:val="20"/>
      <w:lang w:val="en-US" w:eastAsia="en-US"/>
    </w:rPr>
  </w:style>
  <w:style w:type="paragraph" w:customStyle="1" w:styleId="ColorfulShading-Accent11">
    <w:name w:val="Colorful Shading - Accent 11"/>
    <w:hidden/>
    <w:uiPriority w:val="99"/>
    <w:semiHidden/>
    <w:rsid w:val="00F72F50"/>
    <w:rPr>
      <w:rFonts w:ascii="Arial" w:hAnsi="Arial"/>
      <w:sz w:val="22"/>
      <w:szCs w:val="24"/>
      <w:lang w:val="en-GB" w:eastAsia="en-US"/>
    </w:rPr>
  </w:style>
  <w:style w:type="character" w:customStyle="1" w:styleId="MediumGrid11">
    <w:name w:val="Medium Grid 11"/>
    <w:uiPriority w:val="99"/>
    <w:semiHidden/>
    <w:rsid w:val="00F72F50"/>
    <w:rPr>
      <w:color w:val="808080"/>
    </w:rPr>
  </w:style>
  <w:style w:type="character" w:customStyle="1" w:styleId="PlainTextChar">
    <w:name w:val="Plain Text Char"/>
    <w:rsid w:val="00F72F50"/>
    <w:rPr>
      <w:rFonts w:ascii="Courier New" w:hAnsi="Courier New" w:cs="Courier New"/>
      <w:lang w:val="en-GB"/>
    </w:rPr>
  </w:style>
  <w:style w:type="character" w:customStyle="1" w:styleId="ListParagraphChar">
    <w:name w:val="List Paragraph Char"/>
    <w:aliases w:val="Listenabsatz1 Char,Premier Char,COMESA Text 2 Char,Bullets Char,List Paragraph (numbered (a)) Char,Scriptoria bullet points Char,Bullet List Char,FooterText Char,List Paragraph1 Char,Colorful List Accent 1 Char,numbered Char"/>
    <w:link w:val="ListParagraph"/>
    <w:uiPriority w:val="34"/>
    <w:qFormat/>
    <w:locked/>
    <w:rsid w:val="00F72F50"/>
    <w:rPr>
      <w:rFonts w:ascii="Arial" w:hAnsi="Arial"/>
      <w:sz w:val="24"/>
    </w:rPr>
  </w:style>
  <w:style w:type="paragraph" w:styleId="Caption">
    <w:name w:val="caption"/>
    <w:basedOn w:val="Normal"/>
    <w:next w:val="Normal"/>
    <w:link w:val="CaptionChar"/>
    <w:uiPriority w:val="35"/>
    <w:qFormat/>
    <w:rsid w:val="00F72F50"/>
    <w:pPr>
      <w:spacing w:after="120" w:line="280" w:lineRule="exact"/>
      <w:jc w:val="both"/>
    </w:pPr>
    <w:rPr>
      <w:rFonts w:ascii="Trebuchet MS" w:hAnsi="Trebuchet MS"/>
      <w:bCs/>
      <w:color w:val="808080"/>
      <w:sz w:val="19"/>
      <w:lang w:val="en-GB"/>
    </w:rPr>
  </w:style>
  <w:style w:type="character" w:customStyle="1" w:styleId="CaptionChar">
    <w:name w:val="Caption Char"/>
    <w:link w:val="Caption"/>
    <w:uiPriority w:val="35"/>
    <w:rsid w:val="00F72F50"/>
    <w:rPr>
      <w:rFonts w:ascii="Trebuchet MS" w:hAnsi="Trebuchet MS"/>
      <w:bCs/>
      <w:color w:val="808080"/>
      <w:sz w:val="19"/>
      <w:lang w:val="en-GB"/>
    </w:rPr>
  </w:style>
  <w:style w:type="paragraph" w:customStyle="1" w:styleId="BVIfnrCharCharCharChar">
    <w:name w:val="BVI fnr Char Char Char Char"/>
    <w:aliases w:val="BVI fnr Car Car Char Char Char Char,BVI fnr Car Char Char Char Char,BVI fnr Car Car Car Car Char1 Char Char Char,BVI fnr Car Car Car Car Char Car Char Char Char Char"/>
    <w:basedOn w:val="Normal"/>
    <w:link w:val="FootnoteReference"/>
    <w:rsid w:val="00F72F50"/>
    <w:pPr>
      <w:autoSpaceDE w:val="0"/>
      <w:autoSpaceDN w:val="0"/>
      <w:spacing w:after="160" w:line="240" w:lineRule="exact"/>
      <w:jc w:val="both"/>
    </w:pPr>
    <w:rPr>
      <w:sz w:val="18"/>
      <w:vertAlign w:val="superscript"/>
    </w:rPr>
  </w:style>
  <w:style w:type="paragraph" w:customStyle="1" w:styleId="FarbigeListe-Akzent11">
    <w:name w:val="Farbige Liste - Akzent 11"/>
    <w:basedOn w:val="Normal"/>
    <w:uiPriority w:val="34"/>
    <w:qFormat/>
    <w:rsid w:val="00F72F50"/>
    <w:pPr>
      <w:spacing w:line="240" w:lineRule="auto"/>
      <w:ind w:left="720"/>
      <w:contextualSpacing/>
      <w:jc w:val="both"/>
    </w:pPr>
    <w:rPr>
      <w:sz w:val="22"/>
      <w:szCs w:val="24"/>
      <w:lang w:val="en-GB"/>
    </w:rPr>
  </w:style>
  <w:style w:type="table" w:customStyle="1" w:styleId="Formatvorlage3">
    <w:name w:val="Formatvorlage3"/>
    <w:basedOn w:val="TableNormal"/>
    <w:uiPriority w:val="99"/>
    <w:rsid w:val="00F72F50"/>
    <w:pPr>
      <w:spacing w:before="40"/>
      <w:jc w:val="center"/>
    </w:pPr>
    <w:rPr>
      <w:rFonts w:ascii="Trebuchet MS" w:hAnsi="Trebuchet MS"/>
      <w:sz w:val="18"/>
      <w:lang w:eastAsia="en-US"/>
    </w:rPr>
    <w:tblPr>
      <w:tblBorders>
        <w:top w:val="single" w:sz="4" w:space="0" w:color="FE6500"/>
        <w:left w:val="single" w:sz="4" w:space="0" w:color="FE6500"/>
        <w:bottom w:val="single" w:sz="4" w:space="0" w:color="FE6500"/>
        <w:right w:val="single" w:sz="4" w:space="0" w:color="FE6500"/>
        <w:insideH w:val="single" w:sz="4" w:space="0" w:color="FE6500"/>
        <w:insideV w:val="single" w:sz="4" w:space="0" w:color="FE6500"/>
      </w:tblBorders>
    </w:tblPr>
    <w:tblStylePr w:type="firstRow">
      <w:rPr>
        <w:rFonts w:ascii="Bahnschrift SemiLight Condensed" w:hAnsi="Bahnschrift SemiLight Condensed"/>
        <w:color w:val="FFFFFF"/>
        <w:sz w:val="18"/>
      </w:rPr>
      <w:tblPr/>
      <w:tcPr>
        <w:shd w:val="clear" w:color="auto" w:fill="FE6500"/>
      </w:tcPr>
    </w:tblStylePr>
  </w:style>
  <w:style w:type="paragraph" w:customStyle="1" w:styleId="HellesRaster-Akzent31">
    <w:name w:val="Helles Raster - Akzent 31"/>
    <w:basedOn w:val="Normal"/>
    <w:uiPriority w:val="34"/>
    <w:qFormat/>
    <w:rsid w:val="00F72F50"/>
    <w:pPr>
      <w:spacing w:line="240" w:lineRule="auto"/>
      <w:ind w:left="720"/>
      <w:contextualSpacing/>
    </w:pPr>
    <w:rPr>
      <w:rFonts w:ascii="Times New Roman" w:hAnsi="Times New Roman"/>
      <w:szCs w:val="24"/>
    </w:rPr>
  </w:style>
  <w:style w:type="paragraph" w:customStyle="1" w:styleId="TableGrid1">
    <w:name w:val="Table Grid1"/>
    <w:autoRedefine/>
    <w:rsid w:val="00F72F50"/>
    <w:rPr>
      <w:rFonts w:eastAsia="ヒラギノ角ゴ Pro W3"/>
      <w:color w:val="000000"/>
      <w:lang w:eastAsia="en-US"/>
    </w:rPr>
  </w:style>
  <w:style w:type="paragraph" w:styleId="TOCHeading">
    <w:name w:val="TOC Heading"/>
    <w:basedOn w:val="Heading1"/>
    <w:next w:val="Normal"/>
    <w:uiPriority w:val="39"/>
    <w:unhideWhenUsed/>
    <w:qFormat/>
    <w:rsid w:val="00F72F50"/>
    <w:pPr>
      <w:keepNext/>
      <w:keepLines/>
      <w:spacing w:after="120" w:line="280" w:lineRule="auto"/>
      <w:jc w:val="both"/>
      <w:outlineLvl w:val="9"/>
    </w:pPr>
    <w:rPr>
      <w:rFonts w:ascii="Trebuchet MS" w:hAnsi="Trebuchet MS"/>
      <w:color w:val="002060"/>
      <w:szCs w:val="32"/>
      <w:lang w:val="en-US" w:eastAsia="en-US"/>
    </w:rPr>
  </w:style>
  <w:style w:type="paragraph" w:styleId="TOC1">
    <w:name w:val="toc 1"/>
    <w:basedOn w:val="Normal"/>
    <w:next w:val="Normal"/>
    <w:autoRedefine/>
    <w:uiPriority w:val="39"/>
    <w:rsid w:val="00F72F50"/>
    <w:pPr>
      <w:spacing w:after="60" w:line="240" w:lineRule="auto"/>
      <w:jc w:val="both"/>
    </w:pPr>
    <w:rPr>
      <w:sz w:val="22"/>
      <w:szCs w:val="24"/>
      <w:lang w:val="en-GB" w:eastAsia="en-US"/>
    </w:rPr>
  </w:style>
  <w:style w:type="table" w:styleId="TableGrid8">
    <w:name w:val="Table Grid 8"/>
    <w:basedOn w:val="TableNormal"/>
    <w:rsid w:val="00F72F50"/>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ormaltextrun">
    <w:name w:val="normaltextrun"/>
    <w:basedOn w:val="DefaultParagraphFont"/>
    <w:rsid w:val="00F72F50"/>
  </w:style>
  <w:style w:type="character" w:customStyle="1" w:styleId="eop">
    <w:name w:val="eop"/>
    <w:basedOn w:val="DefaultParagraphFont"/>
    <w:rsid w:val="00F72F50"/>
  </w:style>
  <w:style w:type="paragraph" w:customStyle="1" w:styleId="LII-Text">
    <w:name w:val="LII-Text"/>
    <w:basedOn w:val="BodyText"/>
    <w:rsid w:val="00F72F50"/>
    <w:pPr>
      <w:pBdr>
        <w:bottom w:val="none" w:sz="0" w:space="0" w:color="auto"/>
      </w:pBdr>
      <w:tabs>
        <w:tab w:val="left" w:pos="709"/>
      </w:tabs>
      <w:spacing w:after="360" w:line="360" w:lineRule="auto"/>
    </w:pPr>
    <w:rPr>
      <w:rFonts w:ascii="Arial" w:hAnsi="Arial"/>
      <w:i w:val="0"/>
      <w:iCs w:val="0"/>
      <w:sz w:val="24"/>
      <w:szCs w:val="20"/>
      <w:lang w:val="de-DE" w:eastAsia="de-DE"/>
    </w:rPr>
  </w:style>
  <w:style w:type="paragraph" w:customStyle="1" w:styleId="Memoheading">
    <w:name w:val="Memo heading"/>
    <w:rsid w:val="00F72F50"/>
    <w:rPr>
      <w:rFonts w:eastAsia="Yu Mincho"/>
      <w:noProof/>
      <w:lang w:val="en-US" w:eastAsia="en-US"/>
    </w:rPr>
  </w:style>
  <w:style w:type="table" w:customStyle="1" w:styleId="TableGrid2">
    <w:name w:val="Table Grid2"/>
    <w:basedOn w:val="TableNormal"/>
    <w:next w:val="TableGrid"/>
    <w:uiPriority w:val="59"/>
    <w:rsid w:val="00F72F50"/>
    <w:rPr>
      <w:rFonts w:ascii="Calibri" w:eastAsia="Yu Mincho"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72F50"/>
    <w:rPr>
      <w:b/>
      <w:bCs/>
    </w:rPr>
  </w:style>
  <w:style w:type="character" w:customStyle="1" w:styleId="ColorfulList-Accent1Char">
    <w:name w:val="Colorful List - Accent 1 Char"/>
    <w:aliases w:val="Lapis Bulleted List Char"/>
    <w:link w:val="ColorfulList-Accent11"/>
    <w:uiPriority w:val="34"/>
    <w:locked/>
    <w:rsid w:val="00F72F50"/>
    <w:rPr>
      <w:sz w:val="24"/>
      <w:szCs w:val="24"/>
      <w:lang w:val="en-US" w:eastAsia="en-US"/>
    </w:rPr>
  </w:style>
  <w:style w:type="character" w:customStyle="1" w:styleId="Mention1">
    <w:name w:val="Mention1"/>
    <w:basedOn w:val="DefaultParagraphFont"/>
    <w:uiPriority w:val="99"/>
    <w:unhideWhenUsed/>
    <w:rsid w:val="00F72F50"/>
    <w:rPr>
      <w:color w:val="2B579A"/>
      <w:shd w:val="clear" w:color="auto" w:fill="E6E6E6"/>
    </w:rPr>
  </w:style>
  <w:style w:type="character" w:styleId="EndnoteReference">
    <w:name w:val="endnote reference"/>
    <w:basedOn w:val="DefaultParagraphFont"/>
    <w:semiHidden/>
    <w:unhideWhenUsed/>
    <w:rsid w:val="00F72F50"/>
    <w:rPr>
      <w:vertAlign w:val="superscript"/>
    </w:rPr>
  </w:style>
  <w:style w:type="paragraph" w:styleId="TableofFigures">
    <w:name w:val="table of figures"/>
    <w:basedOn w:val="Normal"/>
    <w:next w:val="Normal"/>
    <w:uiPriority w:val="99"/>
    <w:unhideWhenUsed/>
    <w:rsid w:val="00F72F50"/>
    <w:pPr>
      <w:spacing w:line="240" w:lineRule="auto"/>
      <w:jc w:val="both"/>
    </w:pPr>
    <w:rPr>
      <w:sz w:val="22"/>
      <w:szCs w:val="24"/>
      <w:lang w:val="en-GB" w:eastAsia="en-US"/>
    </w:rPr>
  </w:style>
  <w:style w:type="character" w:customStyle="1" w:styleId="Mention2">
    <w:name w:val="Mention2"/>
    <w:basedOn w:val="DefaultParagraphFont"/>
    <w:uiPriority w:val="99"/>
    <w:unhideWhenUsed/>
    <w:rsid w:val="00F72F50"/>
    <w:rPr>
      <w:color w:val="2B579A"/>
      <w:shd w:val="clear" w:color="auto" w:fill="E6E6E6"/>
    </w:rPr>
  </w:style>
  <w:style w:type="character" w:customStyle="1" w:styleId="UnresolvedMention1">
    <w:name w:val="Unresolved Mention1"/>
    <w:basedOn w:val="DefaultParagraphFont"/>
    <w:uiPriority w:val="99"/>
    <w:unhideWhenUsed/>
    <w:rsid w:val="00F72F50"/>
    <w:rPr>
      <w:color w:val="605E5C"/>
      <w:shd w:val="clear" w:color="auto" w:fill="E1DFDD"/>
    </w:rPr>
  </w:style>
  <w:style w:type="character" w:customStyle="1" w:styleId="Mention3">
    <w:name w:val="Mention3"/>
    <w:basedOn w:val="DefaultParagraphFont"/>
    <w:uiPriority w:val="99"/>
    <w:unhideWhenUsed/>
    <w:rsid w:val="00F72F50"/>
    <w:rPr>
      <w:color w:val="2B579A"/>
      <w:shd w:val="clear" w:color="auto" w:fill="E1DFDD"/>
    </w:rPr>
  </w:style>
  <w:style w:type="paragraph" w:customStyle="1" w:styleId="p2">
    <w:name w:val="p2"/>
    <w:basedOn w:val="Normal"/>
    <w:rsid w:val="00F72F50"/>
    <w:pPr>
      <w:spacing w:before="100" w:beforeAutospacing="1" w:after="100" w:afterAutospacing="1" w:line="240" w:lineRule="auto"/>
    </w:pPr>
    <w:rPr>
      <w:rFonts w:ascii="Calibri" w:eastAsia="Calibri" w:hAnsi="Calibri" w:cs="Calibri"/>
      <w:sz w:val="22"/>
      <w:szCs w:val="22"/>
      <w:lang w:val="en-US" w:eastAsia="en-US"/>
    </w:rPr>
  </w:style>
  <w:style w:type="character" w:customStyle="1" w:styleId="s2">
    <w:name w:val="s2"/>
    <w:basedOn w:val="DefaultParagraphFont"/>
    <w:rsid w:val="00F72F50"/>
  </w:style>
  <w:style w:type="character" w:customStyle="1" w:styleId="UnresolvedMention2">
    <w:name w:val="Unresolved Mention2"/>
    <w:basedOn w:val="DefaultParagraphFont"/>
    <w:uiPriority w:val="99"/>
    <w:unhideWhenUsed/>
    <w:rsid w:val="00F72F50"/>
    <w:rPr>
      <w:color w:val="605E5C"/>
      <w:shd w:val="clear" w:color="auto" w:fill="E1DFDD"/>
    </w:rPr>
  </w:style>
  <w:style w:type="character" w:customStyle="1" w:styleId="Mention4">
    <w:name w:val="Mention4"/>
    <w:basedOn w:val="DefaultParagraphFont"/>
    <w:uiPriority w:val="99"/>
    <w:unhideWhenUsed/>
    <w:rsid w:val="00F72F50"/>
    <w:rPr>
      <w:color w:val="2B579A"/>
      <w:shd w:val="clear" w:color="auto" w:fill="E1DFDD"/>
    </w:rPr>
  </w:style>
  <w:style w:type="numbering" w:customStyle="1" w:styleId="KeineListe2">
    <w:name w:val="Keine Liste2"/>
    <w:next w:val="NoList"/>
    <w:uiPriority w:val="99"/>
    <w:semiHidden/>
    <w:unhideWhenUsed/>
    <w:rsid w:val="00B45F09"/>
  </w:style>
  <w:style w:type="table" w:customStyle="1" w:styleId="TableGrid21">
    <w:name w:val="Table Grid21"/>
    <w:basedOn w:val="TableNormal"/>
    <w:next w:val="TableGrid"/>
    <w:uiPriority w:val="59"/>
    <w:rsid w:val="00B45F09"/>
    <w:rPr>
      <w:rFonts w:ascii="Calibri" w:eastAsia="Yu Mincho"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31">
    <w:name w:val="Formatvorlage31"/>
    <w:basedOn w:val="TableNormal"/>
    <w:uiPriority w:val="99"/>
    <w:rsid w:val="008F5EC9"/>
    <w:pPr>
      <w:spacing w:before="40"/>
      <w:jc w:val="center"/>
    </w:pPr>
    <w:rPr>
      <w:rFonts w:ascii="Trebuchet MS" w:hAnsi="Trebuchet MS"/>
      <w:sz w:val="18"/>
      <w:lang w:eastAsia="en-US"/>
    </w:rPr>
    <w:tblPr>
      <w:tblBorders>
        <w:top w:val="single" w:sz="4" w:space="0" w:color="FE6500"/>
        <w:left w:val="single" w:sz="4" w:space="0" w:color="FE6500"/>
        <w:bottom w:val="single" w:sz="4" w:space="0" w:color="FE6500"/>
        <w:right w:val="single" w:sz="4" w:space="0" w:color="FE6500"/>
        <w:insideH w:val="single" w:sz="4" w:space="0" w:color="FE6500"/>
        <w:insideV w:val="single" w:sz="4" w:space="0" w:color="FE6500"/>
      </w:tblBorders>
    </w:tblPr>
    <w:tblStylePr w:type="firstRow">
      <w:rPr>
        <w:rFonts w:ascii="Lohit Devanagari" w:hAnsi="Lohit Devanagari"/>
        <w:color w:val="FFFFFF"/>
        <w:sz w:val="18"/>
      </w:rPr>
      <w:tblPr/>
      <w:tcPr>
        <w:shd w:val="clear" w:color="auto" w:fill="FE6500"/>
      </w:tcPr>
    </w:tblStylePr>
  </w:style>
  <w:style w:type="table" w:customStyle="1" w:styleId="Tabellenraster1">
    <w:name w:val="Tabellenraster1"/>
    <w:basedOn w:val="TableNormal"/>
    <w:next w:val="TableGrid"/>
    <w:uiPriority w:val="39"/>
    <w:rsid w:val="0003788F"/>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32">
    <w:name w:val="Formatvorlage32"/>
    <w:basedOn w:val="TableNormal"/>
    <w:uiPriority w:val="99"/>
    <w:rsid w:val="00DB2B74"/>
    <w:pPr>
      <w:spacing w:before="40"/>
      <w:jc w:val="center"/>
    </w:pPr>
    <w:rPr>
      <w:rFonts w:ascii="Trebuchet MS" w:hAnsi="Trebuchet MS"/>
      <w:sz w:val="18"/>
      <w:lang w:eastAsia="en-US"/>
    </w:rPr>
    <w:tblPr>
      <w:tblBorders>
        <w:top w:val="single" w:sz="4" w:space="0" w:color="FE6500"/>
        <w:left w:val="single" w:sz="4" w:space="0" w:color="FE6500"/>
        <w:bottom w:val="single" w:sz="4" w:space="0" w:color="FE6500"/>
        <w:right w:val="single" w:sz="4" w:space="0" w:color="FE6500"/>
        <w:insideH w:val="single" w:sz="4" w:space="0" w:color="FE6500"/>
        <w:insideV w:val="single" w:sz="4" w:space="0" w:color="FE6500"/>
      </w:tblBorders>
    </w:tblPr>
    <w:tblStylePr w:type="firstRow">
      <w:rPr>
        <w:rFonts w:ascii="AppleSystemUIFont" w:hAnsi="AppleSystemUIFont"/>
        <w:color w:val="FFFFFF"/>
        <w:sz w:val="18"/>
      </w:rPr>
      <w:tblPr/>
      <w:tcPr>
        <w:shd w:val="clear" w:color="auto" w:fill="FE6500"/>
      </w:tcPr>
    </w:tblStylePr>
  </w:style>
  <w:style w:type="table" w:customStyle="1" w:styleId="Tabellenraster2">
    <w:name w:val="Tabellenraster2"/>
    <w:basedOn w:val="TableNormal"/>
    <w:next w:val="TableGrid"/>
    <w:uiPriority w:val="39"/>
    <w:rsid w:val="008E5FFB"/>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39"/>
    <w:rsid w:val="00AB1530"/>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5182">
      <w:bodyDiv w:val="1"/>
      <w:marLeft w:val="0"/>
      <w:marRight w:val="0"/>
      <w:marTop w:val="0"/>
      <w:marBottom w:val="0"/>
      <w:divBdr>
        <w:top w:val="none" w:sz="0" w:space="0" w:color="auto"/>
        <w:left w:val="none" w:sz="0" w:space="0" w:color="auto"/>
        <w:bottom w:val="none" w:sz="0" w:space="0" w:color="auto"/>
        <w:right w:val="none" w:sz="0" w:space="0" w:color="auto"/>
      </w:divBdr>
    </w:div>
    <w:div w:id="943684362">
      <w:bodyDiv w:val="1"/>
      <w:marLeft w:val="0"/>
      <w:marRight w:val="0"/>
      <w:marTop w:val="0"/>
      <w:marBottom w:val="0"/>
      <w:divBdr>
        <w:top w:val="none" w:sz="0" w:space="0" w:color="auto"/>
        <w:left w:val="none" w:sz="0" w:space="0" w:color="auto"/>
        <w:bottom w:val="none" w:sz="0" w:space="0" w:color="auto"/>
        <w:right w:val="none" w:sz="0" w:space="0" w:color="auto"/>
      </w:divBdr>
    </w:div>
    <w:div w:id="963922512">
      <w:bodyDiv w:val="1"/>
      <w:marLeft w:val="0"/>
      <w:marRight w:val="0"/>
      <w:marTop w:val="0"/>
      <w:marBottom w:val="0"/>
      <w:divBdr>
        <w:top w:val="none" w:sz="0" w:space="0" w:color="auto"/>
        <w:left w:val="none" w:sz="0" w:space="0" w:color="auto"/>
        <w:bottom w:val="none" w:sz="0" w:space="0" w:color="auto"/>
        <w:right w:val="none" w:sz="0" w:space="0" w:color="auto"/>
      </w:divBdr>
    </w:div>
    <w:div w:id="1037271000">
      <w:bodyDiv w:val="1"/>
      <w:marLeft w:val="0"/>
      <w:marRight w:val="0"/>
      <w:marTop w:val="0"/>
      <w:marBottom w:val="0"/>
      <w:divBdr>
        <w:top w:val="none" w:sz="0" w:space="0" w:color="auto"/>
        <w:left w:val="none" w:sz="0" w:space="0" w:color="auto"/>
        <w:bottom w:val="none" w:sz="0" w:space="0" w:color="auto"/>
        <w:right w:val="none" w:sz="0" w:space="0" w:color="auto"/>
      </w:divBdr>
    </w:div>
    <w:div w:id="1053848740">
      <w:bodyDiv w:val="1"/>
      <w:marLeft w:val="0"/>
      <w:marRight w:val="0"/>
      <w:marTop w:val="0"/>
      <w:marBottom w:val="0"/>
      <w:divBdr>
        <w:top w:val="none" w:sz="0" w:space="0" w:color="auto"/>
        <w:left w:val="none" w:sz="0" w:space="0" w:color="auto"/>
        <w:bottom w:val="none" w:sz="0" w:space="0" w:color="auto"/>
        <w:right w:val="none" w:sz="0" w:space="0" w:color="auto"/>
      </w:divBdr>
    </w:div>
    <w:div w:id="1646354329">
      <w:bodyDiv w:val="1"/>
      <w:marLeft w:val="0"/>
      <w:marRight w:val="0"/>
      <w:marTop w:val="0"/>
      <w:marBottom w:val="0"/>
      <w:divBdr>
        <w:top w:val="none" w:sz="0" w:space="0" w:color="auto"/>
        <w:left w:val="none" w:sz="0" w:space="0" w:color="auto"/>
        <w:bottom w:val="none" w:sz="0" w:space="0" w:color="auto"/>
        <w:right w:val="none" w:sz="0" w:space="0" w:color="auto"/>
      </w:divBdr>
    </w:div>
    <w:div w:id="1663584765">
      <w:bodyDiv w:val="1"/>
      <w:marLeft w:val="0"/>
      <w:marRight w:val="0"/>
      <w:marTop w:val="0"/>
      <w:marBottom w:val="0"/>
      <w:divBdr>
        <w:top w:val="none" w:sz="0" w:space="0" w:color="auto"/>
        <w:left w:val="none" w:sz="0" w:space="0" w:color="auto"/>
        <w:bottom w:val="none" w:sz="0" w:space="0" w:color="auto"/>
        <w:right w:val="none" w:sz="0" w:space="0" w:color="auto"/>
      </w:divBdr>
    </w:div>
    <w:div w:id="17621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SitePages/POPPRoot.asp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ite.moh.ps/Index/covid19/LanguageVersion/1/Language/a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2021-01-18T07:00:00+00:00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2020-09-01T04:00:00+00:00</Document_x0020_Coverage_x0020_Period_x0020_Start_x0020_Date>
    <Document_x0020_Coverage_x0020_Period_x0020_End_x0020_Date xmlns="f1161f5b-24a3-4c2d-bc81-44cb9325e8ee">2023-08-31T04:00:00+00:00</Document_x0020_Coverage_x0020_Period_x0020_End_x0020_Date>
    <Project_x0020_Number xmlns="f1161f5b-24a3-4c2d-bc81-44cb9325e8ee" xsi:nil="true"/>
    <Project_x0020_Manager xmlns="f1161f5b-24a3-4c2d-bc81-44cb9325e8ee" xsi:nil="true"/>
    <TaxCatchAll xmlns="1ed4137b-41b2-488b-8250-6d369ec27664">
      <Value>1173</Value>
      <Value>1110</Value>
      <Value>1</Value>
      <Value>763</Value>
    </TaxCatchAll>
    <c4e2ab2cc9354bbf9064eeb465a566ea xmlns="1ed4137b-41b2-488b-8250-6d369ec27664">
      <Terms xmlns="http://schemas.microsoft.com/office/infopath/2007/PartnerControls"/>
    </c4e2ab2cc9354bbf9064eeb465a566ea>
    <UndpProjectNo xmlns="1ed4137b-41b2-488b-8250-6d369ec27664">00120458</UndpProjectNo>
    <UndpDocStatus xmlns="1ed4137b-41b2-488b-8250-6d369ec27664">Final</UndpDocStatus>
    <Outcome1 xmlns="f1161f5b-24a3-4c2d-bc81-44cb9325e8ee">116648</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PAL</TermName>
          <TermId xmlns="http://schemas.microsoft.com/office/infopath/2007/PartnerControls">55ef99d5-f5a9-4b8d-b6ae-fdae9478ef25</TermId>
        </TermInfo>
      </Terms>
    </gc6531b704974d528487414686b72f6f>
    <_dlc_DocId xmlns="f1161f5b-24a3-4c2d-bc81-44cb9325e8ee">ATLASPDC-4-129063</_dlc_DocId>
    <_dlc_DocIdUrl xmlns="f1161f5b-24a3-4c2d-bc81-44cb9325e8ee">
      <Url>https://info.undp.org/docs/pdc/_layouts/DocIdRedir.aspx?ID=ATLASPDC-4-129063</Url>
      <Description>ATLASPDC-4-129063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E7CE83FC-A3F8-47B0-BE6D-74D007920281}">
  <ds:schemaRefs>
    <ds:schemaRef ds:uri="http://schemas.openxmlformats.org/officeDocument/2006/bibliography"/>
  </ds:schemaRefs>
</ds:datastoreItem>
</file>

<file path=customXml/itemProps2.xml><?xml version="1.0" encoding="utf-8"?>
<ds:datastoreItem xmlns:ds="http://schemas.openxmlformats.org/officeDocument/2006/customXml" ds:itemID="{92D015AE-9946-496B-918D-7AE5C3364C5B}">
  <ds:schemaRefs>
    <ds:schemaRef ds:uri="http://schemas.microsoft.com/sharepoint/events"/>
  </ds:schemaRefs>
</ds:datastoreItem>
</file>

<file path=customXml/itemProps3.xml><?xml version="1.0" encoding="utf-8"?>
<ds:datastoreItem xmlns:ds="http://schemas.openxmlformats.org/officeDocument/2006/customXml" ds:itemID="{12BF3DC8-DDD5-4E3D-9114-0DE16116D78E}">
  <ds:schemaRefs>
    <ds:schemaRef ds:uri="Microsoft.SharePoint.Taxonomy.ContentTypeSync"/>
  </ds:schemaRefs>
</ds:datastoreItem>
</file>

<file path=customXml/itemProps4.xml><?xml version="1.0" encoding="utf-8"?>
<ds:datastoreItem xmlns:ds="http://schemas.openxmlformats.org/officeDocument/2006/customXml" ds:itemID="{9927F6DB-6158-4579-9211-DABA88C21CB5}">
  <ds:schemaRefs>
    <ds:schemaRef ds:uri="http://schemas.microsoft.com/sharepoint/v3/contenttype/forms"/>
  </ds:schemaRefs>
</ds:datastoreItem>
</file>

<file path=customXml/itemProps5.xml><?xml version="1.0" encoding="utf-8"?>
<ds:datastoreItem xmlns:ds="http://schemas.openxmlformats.org/officeDocument/2006/customXml" ds:itemID="{AEAF223F-BF38-45B2-9370-DC8AD3058A5B}"/>
</file>

<file path=customXml/itemProps6.xml><?xml version="1.0" encoding="utf-8"?>
<ds:datastoreItem xmlns:ds="http://schemas.openxmlformats.org/officeDocument/2006/customXml" ds:itemID="{7511B084-5822-4D3A-B757-EE677C08DFD1}">
  <ds:schemaRefs>
    <ds:schemaRef ds:uri="http://schemas.microsoft.com/office/2006/metadata/properties"/>
    <ds:schemaRef ds:uri="http://schemas.microsoft.com/office/infopath/2007/PartnerControls"/>
    <ds:schemaRef ds:uri="1ed4137b-41b2-488b-8250-6d369ec27664"/>
    <ds:schemaRef ds:uri="f1161f5b-24a3-4c2d-bc81-44cb9325e8ee"/>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15947</Words>
  <Characters>90904</Characters>
  <Application>Microsoft Office Word</Application>
  <DocSecurity>0</DocSecurity>
  <Lines>757</Lines>
  <Paragraphs>213</Paragraphs>
  <ScaleCrop>false</ScaleCrop>
  <Company>Kreditanstalt für Wiederaufbau</Company>
  <LinksUpToDate>false</LinksUpToDate>
  <CharactersWithSpaces>106638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Pal10-120458 ProDoc Investment Programme for Resilience </dc:title>
  <dc:subject/>
  <dc:creator/>
  <cp:keywords>Stand=17.09.2003</cp:keywords>
  <dc:description>Vertragsmuster 3.1 englisch</dc:description>
  <cp:lastModifiedBy>Mahmoud Abu-Aisha</cp:lastModifiedBy>
  <cp:revision>3</cp:revision>
  <cp:lastPrinted>2017-08-28T08:29:00Z</cp:lastPrinted>
  <dcterms:created xsi:type="dcterms:W3CDTF">2021-01-18T07:18:00Z</dcterms:created>
  <dcterms:modified xsi:type="dcterms:W3CDTF">2021-11-24T09:44:00Z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1173;#PAL|55ef99d5-f5a9-4b8d-b6ae-fdae9478ef25</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4288c14b-1f03-412e-8f74-c82d7dccc9d8</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